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53" w:lineRule="exact"/>
        <w:rPr>
          <w:sz w:val="24"/>
          <w:szCs w:val="24"/>
          <w:color w:val="auto"/>
        </w:rPr>
      </w:pPr>
    </w:p>
    <w:p>
      <w:pPr>
        <w:ind w:left="3980" w:right="3960" w:hanging="3740"/>
        <w:spacing w:after="0" w:line="311" w:lineRule="auto"/>
        <w:tabs>
          <w:tab w:leader="none" w:pos="595"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2018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580" w:hanging="327"/>
        <w:spacing w:after="0"/>
        <w:tabs>
          <w:tab w:leader="none" w:pos="580" w:val="left"/>
        </w:tabs>
        <w:numPr>
          <w:ilvl w:val="0"/>
          <w:numId w:val="2"/>
        </w:numPr>
        <w:rPr>
          <w:rFonts w:ascii="Arial" w:cs="Arial" w:eastAsia="Arial" w:hAnsi="Arial"/>
          <w:sz w:val="29"/>
          <w:szCs w:val="29"/>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15" w:lineRule="exact"/>
        <w:rPr>
          <w:sz w:val="24"/>
          <w:szCs w:val="24"/>
          <w:color w:val="auto"/>
        </w:rPr>
      </w:pPr>
    </w:p>
    <w:p>
      <w:pPr>
        <w:ind w:left="346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99060</wp:posOffset>
            </wp:positionV>
            <wp:extent cx="32588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219075</wp:posOffset>
            </wp:positionV>
            <wp:extent cx="1826895" cy="685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Exact Name of Registrant; State of</w:t>
      </w:r>
    </w:p>
    <w:p>
      <w:pPr>
        <w:spacing w:after="0" w:line="22"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Incorporation; Address and Telephone</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color w:val="auto"/>
                <w:w w:val="95"/>
              </w:rPr>
              <w:t>Commission File Number</w:t>
            </w:r>
          </w:p>
        </w:tc>
        <w:tc>
          <w:tcPr>
            <w:tcW w:w="5320" w:type="dxa"/>
            <w:vAlign w:val="bottom"/>
            <w:tcBorders>
              <w:bottom w:val="single" w:sz="8" w:color="auto"/>
            </w:tcBorders>
          </w:tcPr>
          <w:p>
            <w:pPr>
              <w:jc w:val="center"/>
              <w:ind w:left="46"/>
              <w:spacing w:after="0"/>
              <w:rPr>
                <w:sz w:val="20"/>
                <w:szCs w:val="20"/>
                <w:color w:val="auto"/>
              </w:rPr>
            </w:pPr>
            <w:r>
              <w:rPr>
                <w:rFonts w:ascii="Arial" w:cs="Arial" w:eastAsia="Arial" w:hAnsi="Arial"/>
                <w:sz w:val="16"/>
                <w:szCs w:val="16"/>
                <w:color w:val="auto"/>
                <w:w w:val="94"/>
              </w:rPr>
              <w:t>Number of Principal Executive Offices</w:t>
            </w: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I.R.S. Employer Identification No.</w:t>
            </w:r>
          </w:p>
        </w:tc>
        <w:tc>
          <w:tcPr>
            <w:tcW w:w="0" w:type="dxa"/>
            <w:vAlign w:val="bottom"/>
          </w:tcPr>
          <w:p>
            <w:pPr>
              <w:spacing w:after="0"/>
              <w:rPr>
                <w:sz w:val="1"/>
                <w:szCs w:val="1"/>
                <w:color w:val="auto"/>
              </w:rPr>
            </w:pPr>
          </w:p>
        </w:tc>
      </w:tr>
      <w:tr>
        <w:trPr>
          <w:trHeight w:val="190"/>
        </w:trPr>
        <w:tc>
          <w:tcPr>
            <w:tcW w:w="3040" w:type="dxa"/>
            <w:vAlign w:val="bottom"/>
          </w:tcPr>
          <w:p>
            <w:pPr>
              <w:jc w:val="center"/>
              <w:ind w:left="108"/>
              <w:spacing w:after="0"/>
              <w:rPr>
                <w:sz w:val="20"/>
                <w:szCs w:val="20"/>
                <w:color w:val="auto"/>
              </w:rPr>
            </w:pPr>
            <w:r>
              <w:rPr>
                <w:rFonts w:ascii="Arial" w:cs="Arial" w:eastAsia="Arial" w:hAnsi="Arial"/>
                <w:sz w:val="14"/>
                <w:szCs w:val="14"/>
                <w:b w:val="1"/>
                <w:bCs w:val="1"/>
                <w:color w:val="auto"/>
                <w:w w:val="92"/>
              </w:rPr>
              <w:t>001-32871</w:t>
            </w:r>
          </w:p>
        </w:tc>
        <w:tc>
          <w:tcPr>
            <w:tcW w:w="5320" w:type="dxa"/>
            <w:vAlign w:val="bottom"/>
            <w:vMerge w:val="restart"/>
          </w:tcPr>
          <w:p>
            <w:pPr>
              <w:jc w:val="center"/>
              <w:ind w:left="46"/>
              <w:spacing w:after="0"/>
              <w:rPr>
                <w:sz w:val="20"/>
                <w:szCs w:val="20"/>
                <w:color w:val="auto"/>
              </w:rPr>
            </w:pPr>
            <w:r>
              <w:rPr>
                <w:rFonts w:ascii="Arial" w:cs="Arial" w:eastAsia="Arial" w:hAnsi="Arial"/>
                <w:sz w:val="29"/>
                <w:szCs w:val="29"/>
                <w:b w:val="1"/>
                <w:bCs w:val="1"/>
                <w:color w:val="auto"/>
                <w:w w:val="99"/>
              </w:rPr>
              <w:t>COMCAST CORPORATION</w:t>
            </w: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90"/>
              </w:rPr>
              <w:t>27-0000798</w:t>
            </w:r>
          </w:p>
        </w:tc>
        <w:tc>
          <w:tcPr>
            <w:tcW w:w="0" w:type="dxa"/>
            <w:vAlign w:val="bottom"/>
          </w:tcPr>
          <w:p>
            <w:pPr>
              <w:spacing w:after="0"/>
              <w:rPr>
                <w:sz w:val="1"/>
                <w:szCs w:val="1"/>
                <w:color w:val="auto"/>
              </w:rPr>
            </w:pPr>
          </w:p>
        </w:tc>
      </w:tr>
      <w:tr>
        <w:trPr>
          <w:trHeight w:val="184"/>
        </w:trPr>
        <w:tc>
          <w:tcPr>
            <w:tcW w:w="3040" w:type="dxa"/>
            <w:vAlign w:val="bottom"/>
          </w:tcPr>
          <w:p>
            <w:pPr>
              <w:spacing w:after="0"/>
              <w:rPr>
                <w:sz w:val="16"/>
                <w:szCs w:val="16"/>
                <w:color w:val="auto"/>
              </w:rPr>
            </w:pPr>
          </w:p>
        </w:tc>
        <w:tc>
          <w:tcPr>
            <w:tcW w:w="5320" w:type="dxa"/>
            <w:vAlign w:val="bottom"/>
            <w:vMerge w:val="continue"/>
          </w:tcPr>
          <w:p>
            <w:pPr>
              <w:spacing w:after="0"/>
              <w:rPr>
                <w:sz w:val="16"/>
                <w:szCs w:val="16"/>
                <w:color w:val="auto"/>
              </w:rPr>
            </w:pPr>
          </w:p>
        </w:tc>
        <w:tc>
          <w:tcPr>
            <w:tcW w:w="3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040" w:type="dxa"/>
            <w:vAlign w:val="bottom"/>
          </w:tcPr>
          <w:p>
            <w:pPr>
              <w:spacing w:after="0"/>
              <w:rPr>
                <w:sz w:val="14"/>
                <w:szCs w:val="14"/>
                <w:color w:val="auto"/>
              </w:rPr>
            </w:pPr>
          </w:p>
        </w:tc>
        <w:tc>
          <w:tcPr>
            <w:tcW w:w="5320" w:type="dxa"/>
            <w:vAlign w:val="bottom"/>
          </w:tcPr>
          <w:p>
            <w:pPr>
              <w:jc w:val="center"/>
              <w:ind w:left="66"/>
              <w:spacing w:after="0"/>
              <w:rPr>
                <w:sz w:val="20"/>
                <w:szCs w:val="20"/>
                <w:color w:val="auto"/>
              </w:rPr>
            </w:pPr>
            <w:r>
              <w:rPr>
                <w:rFonts w:ascii="Arial" w:cs="Arial" w:eastAsia="Arial" w:hAnsi="Arial"/>
                <w:sz w:val="14"/>
                <w:szCs w:val="14"/>
                <w:b w:val="1"/>
                <w:bCs w:val="1"/>
                <w:color w:val="auto"/>
              </w:rPr>
              <w:t>PENNSYLVANIA</w:t>
            </w:r>
          </w:p>
        </w:tc>
        <w:tc>
          <w:tcPr>
            <w:tcW w:w="3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5320" w:type="dxa"/>
            <w:vAlign w:val="bottom"/>
          </w:tcPr>
          <w:p>
            <w:pPr>
              <w:jc w:val="center"/>
              <w:ind w:left="66"/>
              <w:spacing w:after="0" w:line="149" w:lineRule="exact"/>
              <w:rPr>
                <w:sz w:val="20"/>
                <w:szCs w:val="20"/>
                <w:color w:val="auto"/>
              </w:rPr>
            </w:pPr>
            <w:r>
              <w:rPr>
                <w:rFonts w:ascii="Arial" w:cs="Arial" w:eastAsia="Arial" w:hAnsi="Arial"/>
                <w:sz w:val="14"/>
                <w:szCs w:val="14"/>
                <w:b w:val="1"/>
                <w:bCs w:val="1"/>
                <w:color w:val="auto"/>
                <w:w w:val="92"/>
              </w:rPr>
              <w:t>One Comcast Center</w:t>
            </w:r>
          </w:p>
        </w:tc>
        <w:tc>
          <w:tcPr>
            <w:tcW w:w="3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5320" w:type="dxa"/>
            <w:vAlign w:val="bottom"/>
          </w:tcPr>
          <w:p>
            <w:pPr>
              <w:jc w:val="center"/>
              <w:ind w:left="66"/>
              <w:spacing w:after="0" w:line="149" w:lineRule="exact"/>
              <w:rPr>
                <w:sz w:val="20"/>
                <w:szCs w:val="20"/>
                <w:color w:val="auto"/>
              </w:rPr>
            </w:pPr>
            <w:r>
              <w:rPr>
                <w:rFonts w:ascii="Arial" w:cs="Arial" w:eastAsia="Arial" w:hAnsi="Arial"/>
                <w:sz w:val="14"/>
                <w:szCs w:val="14"/>
                <w:b w:val="1"/>
                <w:bCs w:val="1"/>
                <w:color w:val="auto"/>
                <w:w w:val="93"/>
              </w:rPr>
              <w:t>Philadelphia, PA 19103-2838</w:t>
            </w:r>
          </w:p>
        </w:tc>
        <w:tc>
          <w:tcPr>
            <w:tcW w:w="3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040" w:type="dxa"/>
            <w:vAlign w:val="bottom"/>
          </w:tcPr>
          <w:p>
            <w:pPr>
              <w:spacing w:after="0"/>
              <w:rPr>
                <w:sz w:val="16"/>
                <w:szCs w:val="16"/>
                <w:color w:val="auto"/>
              </w:rPr>
            </w:pPr>
          </w:p>
        </w:tc>
        <w:tc>
          <w:tcPr>
            <w:tcW w:w="5320" w:type="dxa"/>
            <w:vAlign w:val="bottom"/>
          </w:tcPr>
          <w:p>
            <w:pPr>
              <w:jc w:val="center"/>
              <w:ind w:left="46"/>
              <w:spacing w:after="0"/>
              <w:rPr>
                <w:sz w:val="20"/>
                <w:szCs w:val="20"/>
                <w:color w:val="auto"/>
              </w:rPr>
            </w:pPr>
            <w:r>
              <w:rPr>
                <w:rFonts w:ascii="Arial" w:cs="Arial" w:eastAsia="Arial" w:hAnsi="Arial"/>
                <w:sz w:val="14"/>
                <w:szCs w:val="14"/>
                <w:b w:val="1"/>
                <w:bCs w:val="1"/>
                <w:color w:val="auto"/>
                <w:w w:val="93"/>
              </w:rPr>
              <w:t>(215) 286-1700</w:t>
            </w:r>
          </w:p>
        </w:tc>
        <w:tc>
          <w:tcPr>
            <w:tcW w:w="3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3040" w:type="dxa"/>
            <w:vAlign w:val="bottom"/>
          </w:tcPr>
          <w:p>
            <w:pPr>
              <w:jc w:val="center"/>
              <w:ind w:left="108"/>
              <w:spacing w:after="0"/>
              <w:rPr>
                <w:sz w:val="20"/>
                <w:szCs w:val="20"/>
                <w:color w:val="auto"/>
              </w:rPr>
            </w:pPr>
            <w:r>
              <w:rPr>
                <w:rFonts w:ascii="Arial" w:cs="Arial" w:eastAsia="Arial" w:hAnsi="Arial"/>
                <w:sz w:val="14"/>
                <w:szCs w:val="14"/>
                <w:b w:val="1"/>
                <w:bCs w:val="1"/>
                <w:color w:val="auto"/>
                <w:w w:val="92"/>
              </w:rPr>
              <w:t>001-36438</w:t>
            </w:r>
          </w:p>
        </w:tc>
        <w:tc>
          <w:tcPr>
            <w:tcW w:w="5320" w:type="dxa"/>
            <w:vAlign w:val="bottom"/>
            <w:vMerge w:val="restart"/>
          </w:tcPr>
          <w:p>
            <w:pPr>
              <w:jc w:val="center"/>
              <w:ind w:left="66"/>
              <w:spacing w:after="0"/>
              <w:rPr>
                <w:sz w:val="20"/>
                <w:szCs w:val="20"/>
                <w:color w:val="auto"/>
              </w:rPr>
            </w:pPr>
            <w:r>
              <w:rPr>
                <w:rFonts w:ascii="Arial" w:cs="Arial" w:eastAsia="Arial" w:hAnsi="Arial"/>
                <w:sz w:val="29"/>
                <w:szCs w:val="29"/>
                <w:b w:val="1"/>
                <w:bCs w:val="1"/>
                <w:color w:val="auto"/>
              </w:rPr>
              <w:t>NBCUNIVERSAL MEDIA, LLC</w:t>
            </w: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90"/>
              </w:rPr>
              <w:t>14-1682529</w:t>
            </w:r>
          </w:p>
        </w:tc>
        <w:tc>
          <w:tcPr>
            <w:tcW w:w="0" w:type="dxa"/>
            <w:vAlign w:val="bottom"/>
          </w:tcPr>
          <w:p>
            <w:pPr>
              <w:spacing w:after="0"/>
              <w:rPr>
                <w:sz w:val="1"/>
                <w:szCs w:val="1"/>
                <w:color w:val="auto"/>
              </w:rPr>
            </w:pPr>
          </w:p>
        </w:tc>
      </w:tr>
      <w:tr>
        <w:trPr>
          <w:trHeight w:val="179"/>
        </w:trPr>
        <w:tc>
          <w:tcPr>
            <w:tcW w:w="3040" w:type="dxa"/>
            <w:vAlign w:val="bottom"/>
          </w:tcPr>
          <w:p>
            <w:pPr>
              <w:spacing w:after="0"/>
              <w:rPr>
                <w:sz w:val="15"/>
                <w:szCs w:val="15"/>
                <w:color w:val="auto"/>
              </w:rPr>
            </w:pPr>
          </w:p>
        </w:tc>
        <w:tc>
          <w:tcPr>
            <w:tcW w:w="5320" w:type="dxa"/>
            <w:vAlign w:val="bottom"/>
            <w:vMerge w:val="continue"/>
          </w:tcPr>
          <w:p>
            <w:pPr>
              <w:spacing w:after="0"/>
              <w:rPr>
                <w:sz w:val="15"/>
                <w:szCs w:val="15"/>
                <w:color w:val="auto"/>
              </w:rPr>
            </w:pPr>
          </w:p>
        </w:tc>
        <w:tc>
          <w:tcPr>
            <w:tcW w:w="30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DELAWARE</w:t>
      </w:r>
    </w:p>
    <w:p>
      <w:pPr>
        <w:jc w:val="center"/>
        <w:ind w:right="-119"/>
        <w:spacing w:after="0" w:line="226" w:lineRule="auto"/>
        <w:rPr>
          <w:sz w:val="20"/>
          <w:szCs w:val="20"/>
          <w:color w:val="auto"/>
        </w:rPr>
      </w:pPr>
      <w:r>
        <w:rPr>
          <w:rFonts w:ascii="Arial" w:cs="Arial" w:eastAsia="Arial" w:hAnsi="Arial"/>
          <w:sz w:val="14"/>
          <w:szCs w:val="14"/>
          <w:b w:val="1"/>
          <w:bCs w:val="1"/>
          <w:color w:val="auto"/>
        </w:rPr>
        <w:t>30 Rockefeller Plaza</w:t>
      </w:r>
    </w:p>
    <w:p>
      <w:pPr>
        <w:jc w:val="center"/>
        <w:ind w:right="-119"/>
        <w:spacing w:after="0" w:line="222" w:lineRule="auto"/>
        <w:rPr>
          <w:sz w:val="20"/>
          <w:szCs w:val="20"/>
          <w:color w:val="auto"/>
        </w:rPr>
      </w:pPr>
      <w:r>
        <w:rPr>
          <w:rFonts w:ascii="Arial" w:cs="Arial" w:eastAsia="Arial" w:hAnsi="Arial"/>
          <w:sz w:val="14"/>
          <w:szCs w:val="14"/>
          <w:b w:val="1"/>
          <w:bCs w:val="1"/>
          <w:color w:val="auto"/>
        </w:rPr>
        <w:t>New York, NY 10112-0015</w:t>
      </w:r>
    </w:p>
    <w:p>
      <w:pPr>
        <w:jc w:val="center"/>
        <w:ind w:right="-119"/>
        <w:spacing w:after="0"/>
        <w:rPr>
          <w:sz w:val="20"/>
          <w:szCs w:val="20"/>
          <w:color w:val="auto"/>
        </w:rPr>
      </w:pPr>
      <w:r>
        <w:rPr>
          <w:rFonts w:ascii="Arial" w:cs="Arial" w:eastAsia="Arial" w:hAnsi="Arial"/>
          <w:sz w:val="14"/>
          <w:szCs w:val="14"/>
          <w:b w:val="1"/>
          <w:bCs w:val="1"/>
          <w:color w:val="auto"/>
        </w:rPr>
        <w:t>(212) 664-4444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13335</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34" w:lineRule="exact"/>
        <w:rPr>
          <w:sz w:val="24"/>
          <w:szCs w:val="24"/>
          <w:color w:val="auto"/>
        </w:rPr>
      </w:pPr>
    </w:p>
    <w:p>
      <w:pPr>
        <w:jc w:val="both"/>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w:t>
      </w:r>
    </w:p>
    <w:p>
      <w:pPr>
        <w:spacing w:after="0" w:line="120" w:lineRule="exact"/>
        <w:rPr>
          <w:sz w:val="24"/>
          <w:szCs w:val="24"/>
          <w:color w:val="auto"/>
        </w:rPr>
      </w:pPr>
    </w:p>
    <w:tbl>
      <w:tblPr>
        <w:tblLayout w:type="fixed"/>
        <w:tblInd w:w="3240" w:type="dxa"/>
        <w:tblCellMar>
          <w:top w:w="0" w:type="dxa"/>
          <w:left w:w="0" w:type="dxa"/>
          <w:bottom w:w="0" w:type="dxa"/>
          <w:right w:w="0" w:type="dxa"/>
        </w:tblCellMar>
      </w:tblPr>
      <w:tr>
        <w:trPr>
          <w:trHeight w:val="182"/>
        </w:trPr>
        <w:tc>
          <w:tcPr>
            <w:tcW w:w="2500" w:type="dxa"/>
            <w:vAlign w:val="bottom"/>
          </w:tcPr>
          <w:p>
            <w:pPr>
              <w:spacing w:after="0"/>
              <w:rPr>
                <w:sz w:val="20"/>
                <w:szCs w:val="20"/>
                <w:color w:val="auto"/>
              </w:rPr>
            </w:pPr>
            <w:r>
              <w:rPr>
                <w:rFonts w:ascii="Arial" w:cs="Arial" w:eastAsia="Arial" w:hAnsi="Arial"/>
                <w:sz w:val="14"/>
                <w:szCs w:val="14"/>
                <w:color w:val="auto"/>
              </w:rPr>
              <w:t>Comcast Corporation</w:t>
            </w:r>
          </w:p>
        </w:tc>
        <w:tc>
          <w:tcPr>
            <w:tcW w:w="1200" w:type="dxa"/>
            <w:vAlign w:val="bottom"/>
            <w:vMerge w:val="restart"/>
          </w:tcPr>
          <w:p>
            <w:pPr>
              <w:ind w:left="900"/>
              <w:spacing w:after="0"/>
              <w:rPr>
                <w:sz w:val="20"/>
                <w:szCs w:val="20"/>
                <w:color w:val="auto"/>
              </w:rPr>
            </w:pPr>
            <w:r>
              <w:rPr>
                <w:rFonts w:ascii="Arial" w:cs="Arial" w:eastAsia="Arial" w:hAnsi="Arial"/>
                <w:sz w:val="14"/>
                <w:szCs w:val="14"/>
                <w:color w:val="auto"/>
              </w:rPr>
              <w:t>Yes</w:t>
            </w:r>
          </w:p>
        </w:tc>
        <w:tc>
          <w:tcPr>
            <w:tcW w:w="560" w:type="dxa"/>
            <w:vAlign w:val="bottom"/>
            <w:vMerge w:val="restart"/>
          </w:tcPr>
          <w:p>
            <w:pPr>
              <w:ind w:left="80"/>
              <w:spacing w:after="0"/>
              <w:rPr>
                <w:sz w:val="20"/>
                <w:szCs w:val="20"/>
                <w:color w:val="auto"/>
              </w:rPr>
            </w:pPr>
            <w:r>
              <w:rPr>
                <w:rFonts w:ascii="Arial" w:cs="Arial" w:eastAsia="Arial" w:hAnsi="Arial"/>
                <w:sz w:val="14"/>
                <w:szCs w:val="14"/>
                <w:color w:val="auto"/>
              </w:rPr>
              <w:t>x</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No</w:t>
            </w:r>
          </w:p>
        </w:tc>
        <w:tc>
          <w:tcPr>
            <w:tcW w:w="120" w:type="dxa"/>
            <w:vAlign w:val="bottom"/>
            <w:vMerge w:val="restart"/>
          </w:tcPr>
          <w:p>
            <w:pPr>
              <w:ind w:left="60"/>
              <w:spacing w:after="0"/>
              <w:rPr>
                <w:sz w:val="20"/>
                <w:szCs w:val="20"/>
                <w:color w:val="auto"/>
              </w:rPr>
            </w:pPr>
            <w:r>
              <w:rPr>
                <w:rFonts w:ascii="Arial" w:cs="Arial" w:eastAsia="Arial" w:hAnsi="Arial"/>
                <w:sz w:val="11"/>
                <w:szCs w:val="11"/>
                <w:color w:val="auto"/>
                <w:w w:val="71"/>
              </w:rPr>
              <w:t>c</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20"/>
                <w:szCs w:val="20"/>
                <w:color w:val="auto"/>
              </w:rPr>
            </w:pPr>
            <w:r>
              <w:rPr>
                <w:rFonts w:ascii="Arial" w:cs="Arial" w:eastAsia="Arial" w:hAnsi="Arial"/>
                <w:sz w:val="14"/>
                <w:szCs w:val="14"/>
                <w:color w:val="auto"/>
              </w:rPr>
              <w:t>NBCUniversal Media, LLC</w:t>
            </w:r>
          </w:p>
        </w:tc>
        <w:tc>
          <w:tcPr>
            <w:tcW w:w="1200" w:type="dxa"/>
            <w:vAlign w:val="bottom"/>
            <w:vMerge w:val="restart"/>
          </w:tcPr>
          <w:p>
            <w:pPr>
              <w:ind w:left="900"/>
              <w:spacing w:after="0"/>
              <w:rPr>
                <w:sz w:val="20"/>
                <w:szCs w:val="20"/>
                <w:color w:val="auto"/>
              </w:rPr>
            </w:pPr>
            <w:r>
              <w:rPr>
                <w:rFonts w:ascii="Arial" w:cs="Arial" w:eastAsia="Arial" w:hAnsi="Arial"/>
                <w:sz w:val="14"/>
                <w:szCs w:val="14"/>
                <w:color w:val="auto"/>
              </w:rPr>
              <w:t>Yes</w:t>
            </w:r>
          </w:p>
        </w:tc>
        <w:tc>
          <w:tcPr>
            <w:tcW w:w="560" w:type="dxa"/>
            <w:vAlign w:val="bottom"/>
            <w:vMerge w:val="restart"/>
          </w:tcPr>
          <w:p>
            <w:pPr>
              <w:ind w:left="80"/>
              <w:spacing w:after="0"/>
              <w:rPr>
                <w:sz w:val="20"/>
                <w:szCs w:val="20"/>
                <w:color w:val="auto"/>
              </w:rPr>
            </w:pPr>
            <w:r>
              <w:rPr>
                <w:rFonts w:ascii="Arial" w:cs="Arial" w:eastAsia="Arial" w:hAnsi="Arial"/>
                <w:sz w:val="14"/>
                <w:szCs w:val="14"/>
                <w:color w:val="auto"/>
              </w:rPr>
              <w:t>x</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No</w:t>
            </w:r>
          </w:p>
        </w:tc>
        <w:tc>
          <w:tcPr>
            <w:tcW w:w="120" w:type="dxa"/>
            <w:vAlign w:val="bottom"/>
            <w:vMerge w:val="restart"/>
          </w:tcPr>
          <w:p>
            <w:pPr>
              <w:ind w:left="60"/>
              <w:spacing w:after="0"/>
              <w:rPr>
                <w:sz w:val="20"/>
                <w:szCs w:val="20"/>
                <w:color w:val="auto"/>
              </w:rPr>
            </w:pPr>
            <w:r>
              <w:rPr>
                <w:rFonts w:ascii="Arial" w:cs="Arial" w:eastAsia="Arial" w:hAnsi="Arial"/>
                <w:sz w:val="11"/>
                <w:szCs w:val="11"/>
                <w:color w:val="auto"/>
                <w:w w:val="71"/>
              </w:rPr>
              <w:t>c</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85090</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6"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period that the registrant was required to submit and post such files).</w:t>
      </w:r>
    </w:p>
    <w:p>
      <w:pPr>
        <w:spacing w:after="0" w:line="120" w:lineRule="exact"/>
        <w:rPr>
          <w:sz w:val="24"/>
          <w:szCs w:val="24"/>
          <w:color w:val="auto"/>
        </w:rPr>
      </w:pPr>
    </w:p>
    <w:tbl>
      <w:tblPr>
        <w:tblLayout w:type="fixed"/>
        <w:tblInd w:w="3240" w:type="dxa"/>
        <w:tblCellMar>
          <w:top w:w="0" w:type="dxa"/>
          <w:left w:w="0" w:type="dxa"/>
          <w:bottom w:w="0" w:type="dxa"/>
          <w:right w:w="0" w:type="dxa"/>
        </w:tblCellMar>
      </w:tblPr>
      <w:tr>
        <w:trPr>
          <w:trHeight w:val="182"/>
        </w:trPr>
        <w:tc>
          <w:tcPr>
            <w:tcW w:w="2500" w:type="dxa"/>
            <w:vAlign w:val="bottom"/>
          </w:tcPr>
          <w:p>
            <w:pPr>
              <w:spacing w:after="0"/>
              <w:rPr>
                <w:sz w:val="20"/>
                <w:szCs w:val="20"/>
                <w:color w:val="auto"/>
              </w:rPr>
            </w:pPr>
            <w:r>
              <w:rPr>
                <w:rFonts w:ascii="Arial" w:cs="Arial" w:eastAsia="Arial" w:hAnsi="Arial"/>
                <w:sz w:val="14"/>
                <w:szCs w:val="14"/>
                <w:color w:val="auto"/>
              </w:rPr>
              <w:t>Comcast Corporation</w:t>
            </w:r>
          </w:p>
        </w:tc>
        <w:tc>
          <w:tcPr>
            <w:tcW w:w="1200" w:type="dxa"/>
            <w:vAlign w:val="bottom"/>
            <w:vMerge w:val="restart"/>
          </w:tcPr>
          <w:p>
            <w:pPr>
              <w:ind w:left="900"/>
              <w:spacing w:after="0"/>
              <w:rPr>
                <w:sz w:val="20"/>
                <w:szCs w:val="20"/>
                <w:color w:val="auto"/>
              </w:rPr>
            </w:pPr>
            <w:r>
              <w:rPr>
                <w:rFonts w:ascii="Arial" w:cs="Arial" w:eastAsia="Arial" w:hAnsi="Arial"/>
                <w:sz w:val="14"/>
                <w:szCs w:val="14"/>
                <w:color w:val="auto"/>
              </w:rPr>
              <w:t>Yes</w:t>
            </w:r>
          </w:p>
        </w:tc>
        <w:tc>
          <w:tcPr>
            <w:tcW w:w="560" w:type="dxa"/>
            <w:vAlign w:val="bottom"/>
            <w:vMerge w:val="restart"/>
          </w:tcPr>
          <w:p>
            <w:pPr>
              <w:ind w:left="80"/>
              <w:spacing w:after="0"/>
              <w:rPr>
                <w:sz w:val="20"/>
                <w:szCs w:val="20"/>
                <w:color w:val="auto"/>
              </w:rPr>
            </w:pPr>
            <w:r>
              <w:rPr>
                <w:rFonts w:ascii="Arial" w:cs="Arial" w:eastAsia="Arial" w:hAnsi="Arial"/>
                <w:sz w:val="14"/>
                <w:szCs w:val="14"/>
                <w:color w:val="auto"/>
              </w:rPr>
              <w:t>x</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No</w:t>
            </w:r>
          </w:p>
        </w:tc>
        <w:tc>
          <w:tcPr>
            <w:tcW w:w="120" w:type="dxa"/>
            <w:vAlign w:val="bottom"/>
            <w:vMerge w:val="restart"/>
          </w:tcPr>
          <w:p>
            <w:pPr>
              <w:ind w:left="60"/>
              <w:spacing w:after="0"/>
              <w:rPr>
                <w:sz w:val="20"/>
                <w:szCs w:val="20"/>
                <w:color w:val="auto"/>
              </w:rPr>
            </w:pPr>
            <w:r>
              <w:rPr>
                <w:rFonts w:ascii="Arial" w:cs="Arial" w:eastAsia="Arial" w:hAnsi="Arial"/>
                <w:sz w:val="11"/>
                <w:szCs w:val="11"/>
                <w:color w:val="auto"/>
                <w:w w:val="71"/>
              </w:rPr>
              <w:t>c</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20"/>
                <w:szCs w:val="20"/>
                <w:color w:val="auto"/>
              </w:rPr>
            </w:pPr>
            <w:r>
              <w:rPr>
                <w:rFonts w:ascii="Arial" w:cs="Arial" w:eastAsia="Arial" w:hAnsi="Arial"/>
                <w:sz w:val="14"/>
                <w:szCs w:val="14"/>
                <w:color w:val="auto"/>
              </w:rPr>
              <w:t>NBCUniversal Media, LLC</w:t>
            </w:r>
          </w:p>
        </w:tc>
        <w:tc>
          <w:tcPr>
            <w:tcW w:w="1200" w:type="dxa"/>
            <w:vAlign w:val="bottom"/>
            <w:vMerge w:val="restart"/>
          </w:tcPr>
          <w:p>
            <w:pPr>
              <w:ind w:left="900"/>
              <w:spacing w:after="0"/>
              <w:rPr>
                <w:sz w:val="20"/>
                <w:szCs w:val="20"/>
                <w:color w:val="auto"/>
              </w:rPr>
            </w:pPr>
            <w:r>
              <w:rPr>
                <w:rFonts w:ascii="Arial" w:cs="Arial" w:eastAsia="Arial" w:hAnsi="Arial"/>
                <w:sz w:val="14"/>
                <w:szCs w:val="14"/>
                <w:color w:val="auto"/>
              </w:rPr>
              <w:t>Yes</w:t>
            </w:r>
          </w:p>
        </w:tc>
        <w:tc>
          <w:tcPr>
            <w:tcW w:w="560" w:type="dxa"/>
            <w:vAlign w:val="bottom"/>
            <w:vMerge w:val="restart"/>
          </w:tcPr>
          <w:p>
            <w:pPr>
              <w:ind w:left="80"/>
              <w:spacing w:after="0"/>
              <w:rPr>
                <w:sz w:val="20"/>
                <w:szCs w:val="20"/>
                <w:color w:val="auto"/>
              </w:rPr>
            </w:pPr>
            <w:r>
              <w:rPr>
                <w:rFonts w:ascii="Arial" w:cs="Arial" w:eastAsia="Arial" w:hAnsi="Arial"/>
                <w:sz w:val="14"/>
                <w:szCs w:val="14"/>
                <w:color w:val="auto"/>
              </w:rPr>
              <w:t>x</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No</w:t>
            </w:r>
          </w:p>
        </w:tc>
        <w:tc>
          <w:tcPr>
            <w:tcW w:w="120" w:type="dxa"/>
            <w:vAlign w:val="bottom"/>
            <w:vMerge w:val="restart"/>
          </w:tcPr>
          <w:p>
            <w:pPr>
              <w:ind w:left="60"/>
              <w:spacing w:after="0"/>
              <w:rPr>
                <w:sz w:val="20"/>
                <w:szCs w:val="20"/>
                <w:color w:val="auto"/>
              </w:rPr>
            </w:pPr>
            <w:r>
              <w:rPr>
                <w:rFonts w:ascii="Arial" w:cs="Arial" w:eastAsia="Arial" w:hAnsi="Arial"/>
                <w:sz w:val="11"/>
                <w:szCs w:val="11"/>
                <w:color w:val="auto"/>
                <w:w w:val="71"/>
              </w:rPr>
              <w:t>c</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01"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420"/>
          </w:cols>
          <w:pgMar w:left="240" w:top="229" w:right="239" w:bottom="1440" w:gutter="0" w:footer="0" w:header="0"/>
        </w:sectPr>
      </w:pPr>
    </w:p>
    <w:p>
      <w:pPr>
        <w:spacing w:after="0" w:line="1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Comcast Corporation</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x  Accelerated filer</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3"/>
          <w:szCs w:val="13"/>
          <w:color w:val="auto"/>
        </w:rPr>
        <w:t>c  Non-accelerated filer</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c  Smaller reporting company</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c  Emerging growth company</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2"/>
          <w:szCs w:val="12"/>
          <w:color w:val="auto"/>
        </w:rPr>
        <w:t>c</w:t>
      </w:r>
    </w:p>
    <w:p>
      <w:pPr>
        <w:spacing w:after="0" w:line="64" w:lineRule="exact"/>
        <w:rPr>
          <w:sz w:val="24"/>
          <w:szCs w:val="24"/>
          <w:color w:val="auto"/>
        </w:rPr>
      </w:pPr>
    </w:p>
    <w:p>
      <w:pPr>
        <w:sectPr>
          <w:pgSz w:w="11900" w:h="16838" w:orient="portrait"/>
          <w:cols w:equalWidth="0" w:num="7">
            <w:col w:w="1280" w:space="700"/>
            <w:col w:w="1300" w:space="360"/>
            <w:col w:w="1140" w:space="340"/>
            <w:col w:w="1400" w:space="440"/>
            <w:col w:w="1760" w:space="420"/>
            <w:col w:w="1740" w:space="400"/>
            <w:col w:w="140"/>
          </w:cols>
          <w:pgMar w:left="240" w:top="229" w:right="2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NBCUniversal Media, LLC</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3"/>
          <w:szCs w:val="13"/>
          <w:color w:val="auto"/>
        </w:rPr>
        <w:t>c  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  Non-accelerated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3"/>
          <w:szCs w:val="13"/>
          <w:color w:val="auto"/>
        </w:rPr>
        <w:t>x  Smaller reporting company</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3"/>
          <w:szCs w:val="13"/>
          <w:color w:val="auto"/>
        </w:rPr>
        <w:t>c  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c</w:t>
      </w:r>
    </w:p>
    <w:p>
      <w:pPr>
        <w:spacing w:after="0" w:line="145" w:lineRule="exact"/>
        <w:rPr>
          <w:sz w:val="24"/>
          <w:szCs w:val="24"/>
          <w:color w:val="auto"/>
        </w:rPr>
      </w:pPr>
    </w:p>
    <w:p>
      <w:pPr>
        <w:sectPr>
          <w:pgSz w:w="11900" w:h="16838" w:orient="portrait"/>
          <w:cols w:equalWidth="0" w:num="7">
            <w:col w:w="1640" w:space="340"/>
            <w:col w:w="1300" w:space="360"/>
            <w:col w:w="1140" w:space="340"/>
            <w:col w:w="1400" w:space="440"/>
            <w:col w:w="1760" w:space="420"/>
            <w:col w:w="1740" w:space="400"/>
            <w:col w:w="140"/>
          </w:cols>
          <w:pgMar w:left="240" w:top="229" w:right="239" w:bottom="1440" w:gutter="0" w:footer="0" w:header="0"/>
          <w:type w:val="continuous"/>
        </w:sectPr>
      </w:pPr>
    </w:p>
    <w:p>
      <w:pPr>
        <w:spacing w:after="0" w:line="273" w:lineRule="auto"/>
        <w:rPr>
          <w:sz w:val="20"/>
          <w:szCs w:val="20"/>
          <w:color w:val="auto"/>
        </w:rPr>
      </w:pPr>
      <w:r>
        <w:rPr>
          <w:rFonts w:ascii="Arial" w:cs="Arial" w:eastAsia="Arial" w:hAnsi="Arial"/>
          <w:sz w:val="14"/>
          <w:szCs w:val="14"/>
          <w:color w:val="auto"/>
        </w:rPr>
        <w:t>If an emerging growth company, indicate by check mark whether the registrant has elected not to use the extended transition period for complying with any new or revised financial accounting standards provided pursuant to Section 13(a) of the Exchange Act.</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6300" w:type="dxa"/>
            <w:vAlign w:val="bottom"/>
          </w:tcPr>
          <w:p>
            <w:pPr>
              <w:ind w:left="3600"/>
              <w:spacing w:after="0"/>
              <w:rPr>
                <w:sz w:val="20"/>
                <w:szCs w:val="20"/>
                <w:color w:val="auto"/>
              </w:rPr>
            </w:pPr>
            <w:r>
              <w:rPr>
                <w:rFonts w:ascii="Arial" w:cs="Arial" w:eastAsia="Arial" w:hAnsi="Arial"/>
                <w:sz w:val="14"/>
                <w:szCs w:val="14"/>
                <w:color w:val="auto"/>
              </w:rPr>
              <w:t>Comcast Corporation</w:t>
            </w: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ind w:left="320"/>
              <w:spacing w:after="0"/>
              <w:rPr>
                <w:sz w:val="20"/>
                <w:szCs w:val="20"/>
                <w:color w:val="auto"/>
              </w:rPr>
            </w:pPr>
            <w:r>
              <w:rPr>
                <w:rFonts w:ascii="Arial" w:cs="Arial" w:eastAsia="Arial" w:hAnsi="Arial"/>
                <w:sz w:val="14"/>
                <w:szCs w:val="14"/>
                <w:color w:val="auto"/>
              </w:rPr>
              <w:t>c</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00" w:type="dxa"/>
            <w:vAlign w:val="bottom"/>
          </w:tcPr>
          <w:p>
            <w:pPr>
              <w:ind w:left="3600"/>
              <w:spacing w:after="0"/>
              <w:rPr>
                <w:sz w:val="20"/>
                <w:szCs w:val="20"/>
                <w:color w:val="auto"/>
              </w:rPr>
            </w:pPr>
            <w:r>
              <w:rPr>
                <w:rFonts w:ascii="Arial" w:cs="Arial" w:eastAsia="Arial" w:hAnsi="Arial"/>
                <w:sz w:val="14"/>
                <w:szCs w:val="14"/>
                <w:color w:val="auto"/>
              </w:rPr>
              <w:t>NBCUniversal Media, LLC</w:t>
            </w: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ind w:left="320"/>
              <w:spacing w:after="0"/>
              <w:rPr>
                <w:sz w:val="20"/>
                <w:szCs w:val="20"/>
                <w:color w:val="auto"/>
              </w:rPr>
            </w:pPr>
            <w:r>
              <w:rPr>
                <w:rFonts w:ascii="Arial" w:cs="Arial" w:eastAsia="Arial" w:hAnsi="Arial"/>
                <w:sz w:val="14"/>
                <w:szCs w:val="14"/>
                <w:color w:val="auto"/>
              </w:rPr>
              <w:t>c</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6300" w:type="dxa"/>
            <w:vAlign w:val="bottom"/>
          </w:tcPr>
          <w:p>
            <w:pPr>
              <w:spacing w:after="0"/>
              <w:rPr>
                <w:sz w:val="20"/>
                <w:szCs w:val="20"/>
                <w:color w:val="auto"/>
              </w:rPr>
            </w:pPr>
            <w:r>
              <w:rPr>
                <w:rFonts w:ascii="Arial" w:cs="Arial" w:eastAsia="Arial" w:hAnsi="Arial"/>
                <w:sz w:val="14"/>
                <w:szCs w:val="14"/>
                <w:color w:val="auto"/>
                <w:w w:val="99"/>
              </w:rPr>
              <w:t>Indicate by check mark whether the registrant is a shell company (as defined in Rule 12b-2 of the Act).</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00" w:type="dxa"/>
            <w:vAlign w:val="bottom"/>
          </w:tcPr>
          <w:p>
            <w:pPr>
              <w:ind w:left="3240"/>
              <w:spacing w:after="0"/>
              <w:rPr>
                <w:sz w:val="20"/>
                <w:szCs w:val="20"/>
                <w:color w:val="auto"/>
              </w:rPr>
            </w:pPr>
            <w:r>
              <w:rPr>
                <w:rFonts w:ascii="Arial" w:cs="Arial" w:eastAsia="Arial" w:hAnsi="Arial"/>
                <w:sz w:val="14"/>
                <w:szCs w:val="14"/>
                <w:color w:val="auto"/>
              </w:rPr>
              <w:t>Comcast Corporation</w:t>
            </w:r>
          </w:p>
        </w:tc>
        <w:tc>
          <w:tcPr>
            <w:tcW w:w="600" w:type="dxa"/>
            <w:vAlign w:val="bottom"/>
            <w:vMerge w:val="restart"/>
          </w:tcPr>
          <w:p>
            <w:pPr>
              <w:ind w:left="340"/>
              <w:spacing w:after="0"/>
              <w:rPr>
                <w:sz w:val="20"/>
                <w:szCs w:val="20"/>
                <w:color w:val="auto"/>
              </w:rPr>
            </w:pPr>
            <w:r>
              <w:rPr>
                <w:rFonts w:ascii="Arial" w:cs="Arial" w:eastAsia="Arial" w:hAnsi="Arial"/>
                <w:sz w:val="14"/>
                <w:szCs w:val="14"/>
                <w:color w:val="auto"/>
                <w:w w:val="99"/>
              </w:rPr>
              <w:t>Yes</w:t>
            </w:r>
          </w:p>
        </w:tc>
        <w:tc>
          <w:tcPr>
            <w:tcW w:w="460" w:type="dxa"/>
            <w:vAlign w:val="bottom"/>
            <w:vMerge w:val="restart"/>
          </w:tcPr>
          <w:p>
            <w:pPr>
              <w:ind w:left="60"/>
              <w:spacing w:after="0"/>
              <w:rPr>
                <w:sz w:val="20"/>
                <w:szCs w:val="20"/>
                <w:color w:val="auto"/>
              </w:rPr>
            </w:pPr>
            <w:r>
              <w:rPr>
                <w:rFonts w:ascii="Arial" w:cs="Arial" w:eastAsia="Arial" w:hAnsi="Arial"/>
                <w:sz w:val="14"/>
                <w:szCs w:val="14"/>
                <w:color w:val="auto"/>
              </w:rPr>
              <w:t>c</w:t>
            </w:r>
          </w:p>
        </w:tc>
        <w:tc>
          <w:tcPr>
            <w:tcW w:w="700" w:type="dxa"/>
            <w:vAlign w:val="bottom"/>
            <w:vMerge w:val="restart"/>
          </w:tcPr>
          <w:p>
            <w:pPr>
              <w:ind w:left="440"/>
              <w:spacing w:after="0"/>
              <w:rPr>
                <w:sz w:val="20"/>
                <w:szCs w:val="20"/>
                <w:color w:val="auto"/>
              </w:rPr>
            </w:pPr>
            <w:r>
              <w:rPr>
                <w:rFonts w:ascii="Arial" w:cs="Arial" w:eastAsia="Arial" w:hAnsi="Arial"/>
                <w:sz w:val="14"/>
                <w:szCs w:val="14"/>
                <w:color w:val="auto"/>
              </w:rPr>
              <w:t>No</w:t>
            </w:r>
          </w:p>
        </w:tc>
        <w:tc>
          <w:tcPr>
            <w:tcW w:w="140" w:type="dxa"/>
            <w:vAlign w:val="bottom"/>
            <w:vMerge w:val="restart"/>
          </w:tcPr>
          <w:p>
            <w:pPr>
              <w:ind w:left="80"/>
              <w:spacing w:after="0"/>
              <w:rPr>
                <w:sz w:val="20"/>
                <w:szCs w:val="20"/>
                <w:color w:val="auto"/>
              </w:rPr>
            </w:pPr>
            <w:r>
              <w:rPr>
                <w:rFonts w:ascii="Arial" w:cs="Arial" w:eastAsia="Arial" w:hAnsi="Arial"/>
                <w:sz w:val="11"/>
                <w:szCs w:val="11"/>
                <w:color w:val="auto"/>
                <w:w w:val="71"/>
              </w:rPr>
              <w:t>x</w:t>
            </w:r>
          </w:p>
        </w:tc>
        <w:tc>
          <w:tcPr>
            <w:tcW w:w="0" w:type="dxa"/>
            <w:vAlign w:val="bottom"/>
          </w:tcPr>
          <w:p>
            <w:pPr>
              <w:spacing w:after="0"/>
              <w:rPr>
                <w:sz w:val="1"/>
                <w:szCs w:val="1"/>
                <w:color w:val="auto"/>
              </w:rPr>
            </w:pPr>
          </w:p>
        </w:tc>
      </w:tr>
      <w:tr>
        <w:trPr>
          <w:trHeight w:val="68"/>
        </w:trPr>
        <w:tc>
          <w:tcPr>
            <w:tcW w:w="63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300" w:type="dxa"/>
            <w:vAlign w:val="bottom"/>
          </w:tcPr>
          <w:p>
            <w:pPr>
              <w:ind w:left="3240"/>
              <w:spacing w:after="0"/>
              <w:rPr>
                <w:sz w:val="20"/>
                <w:szCs w:val="20"/>
                <w:color w:val="auto"/>
              </w:rPr>
            </w:pPr>
            <w:r>
              <w:rPr>
                <w:rFonts w:ascii="Arial" w:cs="Arial" w:eastAsia="Arial" w:hAnsi="Arial"/>
                <w:sz w:val="14"/>
                <w:szCs w:val="14"/>
                <w:color w:val="auto"/>
              </w:rPr>
              <w:t>NBCUniversal Media, LLC</w:t>
            </w:r>
          </w:p>
        </w:tc>
        <w:tc>
          <w:tcPr>
            <w:tcW w:w="600" w:type="dxa"/>
            <w:vAlign w:val="bottom"/>
            <w:vMerge w:val="restart"/>
          </w:tcPr>
          <w:p>
            <w:pPr>
              <w:ind w:left="340"/>
              <w:spacing w:after="0"/>
              <w:rPr>
                <w:sz w:val="20"/>
                <w:szCs w:val="20"/>
                <w:color w:val="auto"/>
              </w:rPr>
            </w:pPr>
            <w:r>
              <w:rPr>
                <w:rFonts w:ascii="Arial" w:cs="Arial" w:eastAsia="Arial" w:hAnsi="Arial"/>
                <w:sz w:val="14"/>
                <w:szCs w:val="14"/>
                <w:color w:val="auto"/>
                <w:w w:val="99"/>
              </w:rPr>
              <w:t>Yes</w:t>
            </w:r>
          </w:p>
        </w:tc>
        <w:tc>
          <w:tcPr>
            <w:tcW w:w="460" w:type="dxa"/>
            <w:vAlign w:val="bottom"/>
            <w:vMerge w:val="restart"/>
          </w:tcPr>
          <w:p>
            <w:pPr>
              <w:ind w:left="60"/>
              <w:spacing w:after="0"/>
              <w:rPr>
                <w:sz w:val="20"/>
                <w:szCs w:val="20"/>
                <w:color w:val="auto"/>
              </w:rPr>
            </w:pPr>
            <w:r>
              <w:rPr>
                <w:rFonts w:ascii="Arial" w:cs="Arial" w:eastAsia="Arial" w:hAnsi="Arial"/>
                <w:sz w:val="14"/>
                <w:szCs w:val="14"/>
                <w:color w:val="auto"/>
              </w:rPr>
              <w:t>c</w:t>
            </w:r>
          </w:p>
        </w:tc>
        <w:tc>
          <w:tcPr>
            <w:tcW w:w="700" w:type="dxa"/>
            <w:vAlign w:val="bottom"/>
            <w:vMerge w:val="restart"/>
          </w:tcPr>
          <w:p>
            <w:pPr>
              <w:ind w:left="440"/>
              <w:spacing w:after="0"/>
              <w:rPr>
                <w:sz w:val="20"/>
                <w:szCs w:val="20"/>
                <w:color w:val="auto"/>
              </w:rPr>
            </w:pPr>
            <w:r>
              <w:rPr>
                <w:rFonts w:ascii="Arial" w:cs="Arial" w:eastAsia="Arial" w:hAnsi="Arial"/>
                <w:sz w:val="14"/>
                <w:szCs w:val="14"/>
                <w:color w:val="auto"/>
              </w:rPr>
              <w:t>No</w:t>
            </w:r>
          </w:p>
        </w:tc>
        <w:tc>
          <w:tcPr>
            <w:tcW w:w="140" w:type="dxa"/>
            <w:vAlign w:val="bottom"/>
            <w:vMerge w:val="restart"/>
          </w:tcPr>
          <w:p>
            <w:pPr>
              <w:ind w:left="80"/>
              <w:spacing w:after="0"/>
              <w:rPr>
                <w:sz w:val="20"/>
                <w:szCs w:val="20"/>
                <w:color w:val="auto"/>
              </w:rPr>
            </w:pPr>
            <w:r>
              <w:rPr>
                <w:rFonts w:ascii="Arial" w:cs="Arial" w:eastAsia="Arial" w:hAnsi="Arial"/>
                <w:sz w:val="11"/>
                <w:szCs w:val="11"/>
                <w:color w:val="auto"/>
                <w:w w:val="71"/>
              </w:rPr>
              <w:t>x</w:t>
            </w:r>
          </w:p>
        </w:tc>
        <w:tc>
          <w:tcPr>
            <w:tcW w:w="0" w:type="dxa"/>
            <w:vAlign w:val="bottom"/>
          </w:tcPr>
          <w:p>
            <w:pPr>
              <w:spacing w:after="0"/>
              <w:rPr>
                <w:sz w:val="1"/>
                <w:szCs w:val="1"/>
                <w:color w:val="auto"/>
              </w:rPr>
            </w:pPr>
          </w:p>
        </w:tc>
      </w:tr>
      <w:tr>
        <w:trPr>
          <w:trHeight w:val="68"/>
        </w:trPr>
        <w:tc>
          <w:tcPr>
            <w:tcW w:w="63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55"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registrant’s classes of stock, as of the latest practical date:</w:t>
      </w:r>
    </w:p>
    <w:p>
      <w:pPr>
        <w:spacing w:after="0" w:line="55" w:lineRule="exact"/>
        <w:rPr>
          <w:sz w:val="24"/>
          <w:szCs w:val="24"/>
          <w:color w:val="auto"/>
        </w:rPr>
      </w:pPr>
    </w:p>
    <w:p>
      <w:pPr>
        <w:spacing w:after="0"/>
        <w:rPr>
          <w:sz w:val="20"/>
          <w:szCs w:val="20"/>
          <w:color w:val="auto"/>
        </w:rPr>
      </w:pPr>
      <w:r>
        <w:rPr>
          <w:rFonts w:ascii="Arial" w:cs="Arial" w:eastAsia="Arial" w:hAnsi="Arial"/>
          <w:sz w:val="13"/>
          <w:szCs w:val="13"/>
          <w:color w:val="auto"/>
        </w:rPr>
        <w:t>As of June 30, 2018, there were 4,572,489,007 shares of Comcast Corporation Class A common stock and 9,444,375 shares of Comcast Corporation Class B common stock outstanding.</w:t>
      </w:r>
    </w:p>
    <w:p>
      <w:pPr>
        <w:spacing w:after="0" w:line="67" w:lineRule="exact"/>
        <w:rPr>
          <w:sz w:val="24"/>
          <w:szCs w:val="24"/>
          <w:color w:val="auto"/>
        </w:rPr>
      </w:pPr>
    </w:p>
    <w:p>
      <w:pPr>
        <w:spacing w:after="0"/>
        <w:rPr>
          <w:sz w:val="20"/>
          <w:szCs w:val="20"/>
          <w:color w:val="auto"/>
        </w:rPr>
      </w:pPr>
      <w:r>
        <w:rPr>
          <w:rFonts w:ascii="Arial" w:cs="Arial" w:eastAsia="Arial" w:hAnsi="Arial"/>
          <w:sz w:val="14"/>
          <w:szCs w:val="14"/>
          <w:color w:val="auto"/>
        </w:rPr>
        <w:t>Not applicable for NBCUniversal Media, LLC.</w:t>
      </w:r>
    </w:p>
    <w:p>
      <w:pPr>
        <w:spacing w:after="0" w:line="51"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NBCUniversal Media, LLC meets the conditions set forth in General Instruction H(1)(a) and (b) of Form 10-Q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40" w:type="dxa"/>
            <w:vAlign w:val="bottom"/>
          </w:tcPr>
          <w:p>
            <w:pPr>
              <w:jc w:val="right"/>
              <w:ind w:right="172"/>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88"/>
        </w:trPr>
        <w:tc>
          <w:tcPr>
            <w:tcW w:w="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9340" w:type="dxa"/>
            <w:vAlign w:val="bottom"/>
            <w:gridSpan w:val="21"/>
          </w:tcPr>
          <w:p>
            <w:pPr>
              <w:spacing w:after="0" w:line="202"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1.</w:t>
            </w:r>
          </w:p>
        </w:tc>
        <w:tc>
          <w:tcPr>
            <w:tcW w:w="310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Comcast Corporation Financial Statements</w:t>
              </w:r>
            </w:hyperlink>
          </w:p>
        </w:tc>
        <w:tc>
          <w:tcPr>
            <w:tcW w:w="4760" w:type="dxa"/>
            <w:vAlign w:val="bottom"/>
            <w:gridSpan w:val="10"/>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2C2C2C"/>
              </w:rPr>
            </w:pPr>
            <w:hyperlink w:anchor="page4">
              <w:r>
                <w:rPr>
                  <w:rFonts w:ascii="Arial" w:cs="Arial" w:eastAsia="Arial" w:hAnsi="Arial"/>
                  <w:sz w:val="18"/>
                  <w:szCs w:val="18"/>
                  <w:color w:val="2C2C2C"/>
                </w:rPr>
                <w:t>1</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 of Income (Unaudited)</w:t>
              </w:r>
            </w:hyperlink>
          </w:p>
        </w:tc>
        <w:tc>
          <w:tcPr>
            <w:tcW w:w="3600" w:type="dxa"/>
            <w:vAlign w:val="bottom"/>
            <w:gridSpan w:val="8"/>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2C2C2C"/>
              </w:rPr>
            </w:pPr>
            <w:hyperlink w:anchor="page4">
              <w:r>
                <w:rPr>
                  <w:rFonts w:ascii="Arial" w:cs="Arial" w:eastAsia="Arial" w:hAnsi="Arial"/>
                  <w:sz w:val="18"/>
                  <w:szCs w:val="18"/>
                  <w:color w:val="2C2C2C"/>
                </w:rPr>
                <w:t>1</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6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 of Comprehensive Income (Unaudited)</w:t>
              </w:r>
            </w:hyperlink>
          </w:p>
        </w:tc>
        <w:tc>
          <w:tcPr>
            <w:tcW w:w="2040" w:type="dxa"/>
            <w:vAlign w:val="bottom"/>
          </w:tcPr>
          <w:p>
            <w:pPr>
              <w:jc w:val="right"/>
              <w:spacing w:after="0"/>
              <w:rPr>
                <w:rFonts w:ascii="Arial" w:cs="Arial" w:eastAsia="Arial" w:hAnsi="Arial"/>
                <w:sz w:val="18"/>
                <w:szCs w:val="18"/>
                <w:color w:val="2C2C2C"/>
              </w:rPr>
            </w:pPr>
            <w:hyperlink w:anchor="page5">
              <w:r>
                <w:rPr>
                  <w:rFonts w:ascii="Arial" w:cs="Arial" w:eastAsia="Arial" w:hAnsi="Arial"/>
                  <w:sz w:val="18"/>
                  <w:szCs w:val="18"/>
                  <w:color w:val="2C2C2C"/>
                </w:rPr>
                <w:t>2</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56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 of Cash Flows (Unaudited)</w:t>
              </w:r>
            </w:hyperlink>
          </w:p>
        </w:tc>
        <w:tc>
          <w:tcPr>
            <w:tcW w:w="860" w:type="dxa"/>
            <w:vAlign w:val="bottom"/>
            <w:tcBorders>
              <w:top w:val="single" w:sz="8" w:color="0000EE"/>
            </w:tcBorders>
            <w:gridSpan w:val="3"/>
          </w:tcPr>
          <w:p>
            <w:pPr>
              <w:spacing w:after="0"/>
              <w:rPr>
                <w:sz w:val="21"/>
                <w:szCs w:val="21"/>
                <w:color w:val="auto"/>
              </w:rPr>
            </w:pPr>
          </w:p>
        </w:tc>
        <w:tc>
          <w:tcPr>
            <w:tcW w:w="2440" w:type="dxa"/>
            <w:vAlign w:val="bottom"/>
            <w:gridSpan w:val="2"/>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2C2C2C"/>
              </w:rPr>
            </w:pPr>
            <w:hyperlink w:anchor="page6">
              <w:r>
                <w:rPr>
                  <w:rFonts w:ascii="Arial" w:cs="Arial" w:eastAsia="Arial" w:hAnsi="Arial"/>
                  <w:sz w:val="18"/>
                  <w:szCs w:val="18"/>
                  <w:color w:val="2C2C2C"/>
                </w:rPr>
                <w:t>3</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78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Balance Sheet (Unaudited)</w:t>
              </w:r>
            </w:hyperlink>
          </w:p>
        </w:tc>
        <w:tc>
          <w:tcPr>
            <w:tcW w:w="4080" w:type="dxa"/>
            <w:vAlign w:val="bottom"/>
            <w:gridSpan w:val="9"/>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2C2C2C"/>
              </w:rPr>
            </w:pPr>
            <w:hyperlink w:anchor="page7">
              <w:r>
                <w:rPr>
                  <w:rFonts w:ascii="Arial" w:cs="Arial" w:eastAsia="Arial" w:hAnsi="Arial"/>
                  <w:sz w:val="18"/>
                  <w:szCs w:val="18"/>
                  <w:color w:val="2C2C2C"/>
                </w:rPr>
                <w:t>4</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60" w:type="dxa"/>
            <w:vAlign w:val="bottom"/>
            <w:gridSpan w:val="19"/>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 of Changes in Equity (Unaudited)</w:t>
              </w:r>
            </w:hyperlink>
          </w:p>
        </w:tc>
        <w:tc>
          <w:tcPr>
            <w:tcW w:w="204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40" w:type="dxa"/>
            <w:vAlign w:val="bottom"/>
            <w:tcBorders>
              <w:top w:val="single" w:sz="8" w:color="0000EE"/>
            </w:tcBorders>
            <w:gridSpan w:val="16"/>
          </w:tcPr>
          <w:p>
            <w:pPr>
              <w:spacing w:after="0"/>
              <w:rPr>
                <w:rFonts w:ascii="Arial" w:cs="Arial" w:eastAsia="Arial" w:hAnsi="Arial"/>
                <w:sz w:val="18"/>
                <w:szCs w:val="18"/>
                <w:color w:val="0000EE"/>
                <w:w w:val="91"/>
              </w:rPr>
            </w:pPr>
            <w:hyperlink w:anchor="page9">
              <w:r>
                <w:rPr>
                  <w:rFonts w:ascii="Arial" w:cs="Arial" w:eastAsia="Arial" w:hAnsi="Arial"/>
                  <w:sz w:val="18"/>
                  <w:szCs w:val="18"/>
                  <w:color w:val="0000EE"/>
                  <w:w w:val="91"/>
                </w:rPr>
                <w:t>Notes to Condensed Consolidated Financial Statements (Unaudited)</w:t>
              </w:r>
            </w:hyperlink>
          </w:p>
        </w:tc>
        <w:tc>
          <w:tcPr>
            <w:tcW w:w="2820" w:type="dxa"/>
            <w:vAlign w:val="bottom"/>
            <w:gridSpan w:val="3"/>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8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Item 2.</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64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Management’s Discussion and Analysis of Financial Condition and Results of Operations</w:t>
              </w:r>
            </w:hyperlink>
          </w:p>
        </w:tc>
        <w:tc>
          <w:tcPr>
            <w:tcW w:w="1400" w:type="dxa"/>
            <w:vAlign w:val="bottom"/>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3.</w:t>
            </w:r>
          </w:p>
        </w:tc>
        <w:tc>
          <w:tcPr>
            <w:tcW w:w="436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48">
              <w:r>
                <w:rPr>
                  <w:rFonts w:ascii="Arial" w:cs="Arial" w:eastAsia="Arial" w:hAnsi="Arial"/>
                  <w:sz w:val="18"/>
                  <w:szCs w:val="18"/>
                  <w:color w:val="0000EE"/>
                  <w:w w:val="92"/>
                </w:rPr>
                <w:t>Quantitative and Qualitative Disclosures About Market Risk</w:t>
              </w:r>
            </w:hyperlink>
          </w:p>
        </w:tc>
        <w:tc>
          <w:tcPr>
            <w:tcW w:w="3500" w:type="dxa"/>
            <w:vAlign w:val="bottom"/>
            <w:gridSpan w:val="6"/>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45</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4.</w:t>
            </w: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48">
              <w:r>
                <w:rPr>
                  <w:rFonts w:ascii="Arial" w:cs="Arial" w:eastAsia="Arial" w:hAnsi="Arial"/>
                  <w:sz w:val="18"/>
                  <w:szCs w:val="18"/>
                  <w:color w:val="0000EE"/>
                  <w:w w:val="88"/>
                </w:rPr>
                <w:t>Controls and Procedures</w:t>
              </w:r>
            </w:hyperlink>
          </w:p>
        </w:tc>
        <w:tc>
          <w:tcPr>
            <w:tcW w:w="6080" w:type="dxa"/>
            <w:vAlign w:val="bottom"/>
            <w:gridSpan w:val="12"/>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45</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9340" w:type="dxa"/>
            <w:vAlign w:val="bottom"/>
            <w:gridSpan w:val="21"/>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PART II. OTHER INFORMATION</w:t>
              </w:r>
            </w:hyperlink>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1.</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49">
              <w:r>
                <w:rPr>
                  <w:rFonts w:ascii="Arial" w:cs="Arial" w:eastAsia="Arial" w:hAnsi="Arial"/>
                  <w:sz w:val="18"/>
                  <w:szCs w:val="18"/>
                  <w:color w:val="0000EE"/>
                  <w:w w:val="88"/>
                </w:rPr>
                <w:t>Legal Proceedings</w:t>
              </w:r>
            </w:hyperlink>
          </w:p>
        </w:tc>
        <w:tc>
          <w:tcPr>
            <w:tcW w:w="6520" w:type="dxa"/>
            <w:vAlign w:val="bottom"/>
            <w:gridSpan w:val="14"/>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46</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1A.</w:t>
            </w:r>
          </w:p>
        </w:tc>
        <w:tc>
          <w:tcPr>
            <w:tcW w:w="7860" w:type="dxa"/>
            <w:vAlign w:val="bottom"/>
            <w:gridSpan w:val="19"/>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Risk Factors</w:t>
              </w:r>
            </w:hyperlink>
          </w:p>
        </w:tc>
        <w:tc>
          <w:tcPr>
            <w:tcW w:w="204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46</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8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Item 2.</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7860" w:type="dxa"/>
            <w:vAlign w:val="bottom"/>
            <w:gridSpan w:val="19"/>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Unregistered Sales of Equity Securities and Use of Proceeds</w:t>
              </w:r>
            </w:hyperlink>
          </w:p>
        </w:tc>
        <w:tc>
          <w:tcPr>
            <w:tcW w:w="204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46</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5.</w:t>
            </w:r>
          </w:p>
        </w:tc>
        <w:tc>
          <w:tcPr>
            <w:tcW w:w="1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49">
              <w:r>
                <w:rPr>
                  <w:rFonts w:ascii="Arial" w:cs="Arial" w:eastAsia="Arial" w:hAnsi="Arial"/>
                  <w:sz w:val="18"/>
                  <w:szCs w:val="18"/>
                  <w:color w:val="0000EE"/>
                  <w:w w:val="92"/>
                </w:rPr>
                <w:t>Other Information</w:t>
              </w:r>
            </w:hyperlink>
          </w:p>
        </w:tc>
        <w:tc>
          <w:tcPr>
            <w:tcW w:w="3020" w:type="dxa"/>
            <w:vAlign w:val="bottom"/>
            <w:tcBorders>
              <w:top w:val="single" w:sz="8" w:color="0000EE"/>
            </w:tcBorders>
            <w:gridSpan w:val="8"/>
          </w:tcPr>
          <w:p>
            <w:pPr>
              <w:spacing w:after="0"/>
              <w:rPr>
                <w:sz w:val="21"/>
                <w:szCs w:val="21"/>
                <w:color w:val="auto"/>
              </w:rPr>
            </w:pPr>
          </w:p>
        </w:tc>
        <w:tc>
          <w:tcPr>
            <w:tcW w:w="3520" w:type="dxa"/>
            <w:vAlign w:val="bottom"/>
            <w:gridSpan w:val="7"/>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46</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6.</w:t>
            </w:r>
          </w:p>
        </w:tc>
        <w:tc>
          <w:tcPr>
            <w:tcW w:w="7860" w:type="dxa"/>
            <w:vAlign w:val="bottom"/>
            <w:gridSpan w:val="19"/>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Exhibits</w:t>
              </w:r>
            </w:hyperlink>
          </w:p>
        </w:tc>
        <w:tc>
          <w:tcPr>
            <w:tcW w:w="204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47</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Borders>
              <w:bottom w:val="single" w:sz="8" w:color="0000EE"/>
            </w:tcBorders>
          </w:tcPr>
          <w:p>
            <w:pPr>
              <w:spacing w:after="0"/>
              <w:rPr>
                <w:rFonts w:ascii="Arial" w:cs="Arial" w:eastAsia="Arial" w:hAnsi="Arial"/>
                <w:sz w:val="18"/>
                <w:szCs w:val="18"/>
                <w:b w:val="1"/>
                <w:bCs w:val="1"/>
                <w:color w:val="0000EE"/>
                <w:w w:val="96"/>
              </w:rPr>
            </w:pPr>
            <w:hyperlink w:anchor="page52">
              <w:r>
                <w:rPr>
                  <w:rFonts w:ascii="Arial" w:cs="Arial" w:eastAsia="Arial" w:hAnsi="Arial"/>
                  <w:sz w:val="18"/>
                  <w:szCs w:val="18"/>
                  <w:b w:val="1"/>
                  <w:bCs w:val="1"/>
                  <w:color w:val="0000EE"/>
                  <w:w w:val="96"/>
                </w:rPr>
                <w:t>SIGNATURES</w:t>
              </w:r>
            </w:hyperlink>
          </w:p>
        </w:tc>
        <w:tc>
          <w:tcPr>
            <w:tcW w:w="320" w:type="dxa"/>
            <w:vAlign w:val="bottom"/>
          </w:tcPr>
          <w:p>
            <w:pPr>
              <w:spacing w:after="0"/>
              <w:rPr>
                <w:sz w:val="21"/>
                <w:szCs w:val="21"/>
                <w:color w:val="auto"/>
              </w:rPr>
            </w:pPr>
          </w:p>
        </w:tc>
        <w:tc>
          <w:tcPr>
            <w:tcW w:w="600" w:type="dxa"/>
            <w:vAlign w:val="bottom"/>
            <w:tcBorders>
              <w:top w:val="single" w:sz="8" w:color="0000EE"/>
            </w:tcBorders>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4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49</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9340" w:type="dxa"/>
            <w:vAlign w:val="bottom"/>
            <w:gridSpan w:val="21"/>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NBCUniversal Media, LLC Financial Statements</w:t>
              </w:r>
            </w:hyperlink>
          </w:p>
        </w:tc>
        <w:tc>
          <w:tcPr>
            <w:tcW w:w="2040" w:type="dxa"/>
            <w:vAlign w:val="bottom"/>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50</w:t>
              </w:r>
            </w:hyperlink>
          </w:p>
        </w:tc>
        <w:tc>
          <w:tcPr>
            <w:tcW w:w="0" w:type="dxa"/>
            <w:vAlign w:val="bottom"/>
          </w:tcPr>
          <w:p>
            <w:pPr>
              <w:spacing w:after="0"/>
              <w:rPr>
                <w:sz w:val="1"/>
                <w:szCs w:val="1"/>
                <w:color w:val="auto"/>
              </w:rPr>
            </w:pPr>
          </w:p>
        </w:tc>
      </w:tr>
      <w:tr>
        <w:trPr>
          <w:trHeight w:val="48"/>
        </w:trPr>
        <w:tc>
          <w:tcPr>
            <w:tcW w:w="40" w:type="dxa"/>
            <w:vAlign w:val="bottom"/>
            <w:tcBorders>
              <w:bottom w:val="single" w:sz="8" w:color="auto"/>
            </w:tcBorders>
          </w:tcPr>
          <w:p>
            <w:pPr>
              <w:spacing w:after="0"/>
              <w:rPr>
                <w:sz w:val="4"/>
                <w:szCs w:val="4"/>
                <w:color w:val="auto"/>
              </w:rPr>
            </w:pPr>
          </w:p>
        </w:tc>
        <w:tc>
          <w:tcPr>
            <w:tcW w:w="1160" w:type="dxa"/>
            <w:vAlign w:val="bottom"/>
            <w:tcBorders>
              <w:top w:val="single" w:sz="8" w:color="0000EE"/>
              <w:bottom w:val="single" w:sz="8" w:color="auto"/>
            </w:tcBorders>
          </w:tcPr>
          <w:p>
            <w:pPr>
              <w:spacing w:after="0"/>
              <w:rPr>
                <w:sz w:val="4"/>
                <w:szCs w:val="4"/>
                <w:color w:val="auto"/>
              </w:rPr>
            </w:pPr>
          </w:p>
        </w:tc>
        <w:tc>
          <w:tcPr>
            <w:tcW w:w="320" w:type="dxa"/>
            <w:vAlign w:val="bottom"/>
            <w:tcBorders>
              <w:top w:val="single" w:sz="8" w:color="0000EE"/>
              <w:bottom w:val="single" w:sz="8" w:color="auto"/>
            </w:tcBorders>
          </w:tcPr>
          <w:p>
            <w:pPr>
              <w:spacing w:after="0"/>
              <w:rPr>
                <w:sz w:val="4"/>
                <w:szCs w:val="4"/>
                <w:color w:val="auto"/>
              </w:rPr>
            </w:pPr>
          </w:p>
        </w:tc>
        <w:tc>
          <w:tcPr>
            <w:tcW w:w="600" w:type="dxa"/>
            <w:vAlign w:val="bottom"/>
            <w:tcBorders>
              <w:top w:val="single" w:sz="8" w:color="0000EE"/>
              <w:bottom w:val="single" w:sz="8" w:color="auto"/>
            </w:tcBorders>
          </w:tcPr>
          <w:p>
            <w:pPr>
              <w:spacing w:after="0"/>
              <w:rPr>
                <w:sz w:val="4"/>
                <w:szCs w:val="4"/>
                <w:color w:val="auto"/>
              </w:rPr>
            </w:pPr>
          </w:p>
        </w:tc>
        <w:tc>
          <w:tcPr>
            <w:tcW w:w="300" w:type="dxa"/>
            <w:vAlign w:val="bottom"/>
            <w:tcBorders>
              <w:top w:val="single" w:sz="8" w:color="0000EE"/>
              <w:bottom w:val="single" w:sz="8" w:color="auto"/>
            </w:tcBorders>
          </w:tcPr>
          <w:p>
            <w:pPr>
              <w:spacing w:after="0"/>
              <w:rPr>
                <w:sz w:val="4"/>
                <w:szCs w:val="4"/>
                <w:color w:val="auto"/>
              </w:rPr>
            </w:pPr>
          </w:p>
        </w:tc>
        <w:tc>
          <w:tcPr>
            <w:tcW w:w="38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240" w:type="dxa"/>
            <w:vAlign w:val="bottom"/>
            <w:tcBorders>
              <w:top w:val="single" w:sz="8" w:color="0000EE"/>
              <w:bottom w:val="single" w:sz="8" w:color="auto"/>
            </w:tcBorders>
          </w:tcPr>
          <w:p>
            <w:pPr>
              <w:spacing w:after="0"/>
              <w:rPr>
                <w:sz w:val="4"/>
                <w:szCs w:val="4"/>
                <w:color w:val="auto"/>
              </w:rPr>
            </w:pPr>
          </w:p>
        </w:tc>
        <w:tc>
          <w:tcPr>
            <w:tcW w:w="200" w:type="dxa"/>
            <w:vAlign w:val="bottom"/>
            <w:tcBorders>
              <w:top w:val="single" w:sz="8" w:color="0000EE"/>
              <w:bottom w:val="single" w:sz="8" w:color="auto"/>
            </w:tcBorders>
          </w:tcPr>
          <w:p>
            <w:pPr>
              <w:spacing w:after="0"/>
              <w:rPr>
                <w:sz w:val="4"/>
                <w:szCs w:val="4"/>
                <w:color w:val="auto"/>
              </w:rPr>
            </w:pPr>
          </w:p>
        </w:tc>
        <w:tc>
          <w:tcPr>
            <w:tcW w:w="280" w:type="dxa"/>
            <w:vAlign w:val="bottom"/>
            <w:tcBorders>
              <w:top w:val="single" w:sz="8" w:color="0000EE"/>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4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Quarterly Report on Form 10-Q is a combined report being filed separately by Comcast Corporation (“Comcast”) and NBCUniversal Media, LLC (“NBCUniversal”). Comcast owns all of the common equity interests in NBCUniversal, and NBCUniversal meets the conditions set forth in General Instruction H(1)(a) and (b) of Form 10-Q and is therefore filing its information within this Form 10-Q with the reduced disclosure format. Each of Comcast and NBCUniversal is filing on its own behalf the information contained in this report that relates to itself, and neither company makes any representation as to information relating to the other company. Where information or an explanation is provided that is substantially the same for each company, such information or explanation has been combined in this report. Where information or an explanation is not substantially the same for each company, separate information and explanation has been provided. In addition, separate condensed consolidated financial statements for each company, along with notes to the condensed consolidated financial statements, are included in this report. Unless indicated otherwise, throughout this Quarterly Report on Form 10-Q, we refer to Comcast and its consolidated subsidiaries, including NBCUniversal and its consolidated subsidiaries, as “we,” “us” and “our;” Comcast Cable Communications, LLC and its consolidated subsidiaries as “Comcast Cable;” Comcast Holdings Corporation as “Comcast Holdings;” NBCUniversal, LLC as “NBCUniversal Holdings;” and NBCUniversal Enterprise, Inc. as “NBCUniversal Enterprise.”</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Quarterly Report on Form 10-Q is for the three and six months ended June 30, 2018. This Quarterly Report on Form 10-Q modifies and supersedes documents filed before it. The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on Form 10-Q. In addition, information that we file with the SEC in the future will automatically update and supersede information contained in this Quarterly Report on Form 10-Q.</w:t>
      </w:r>
    </w:p>
    <w:p>
      <w:pPr>
        <w:spacing w:after="0" w:line="14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You should carefully review the information contained in this Quarterly Report on Form 10-Q and particularly consider any risk factors set forth in this Quarterly Report on Form 10-Q and in other reports or documents that we file from time to time with the SEC. In this Quarterly Report on Form 10-Q,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these statements are only our predictions. In evaluating these statements, you should consider various factors, including</w:t>
      </w:r>
    </w:p>
    <w:p>
      <w:pPr>
        <w:sectPr>
          <w:pgSz w:w="11900" w:h="16838" w:orient="portrait"/>
          <w:cols w:equalWidth="0" w:num="1">
            <w:col w:w="11420"/>
          </w:cols>
          <w:pgMar w:left="240" w:top="418" w:right="239" w:bottom="1440" w:gutter="0" w:footer="0" w:header="0"/>
        </w:sectPr>
      </w:pPr>
    </w:p>
    <w:bookmarkStart w:id="2" w:name="page3"/>
    <w:bookmarkEnd w:id="2"/>
    <w:p>
      <w:pPr>
        <w:jc w:val="both"/>
        <w:spacing w:after="0" w:line="264" w:lineRule="auto"/>
        <w:rPr>
          <w:sz w:val="20"/>
          <w:szCs w:val="20"/>
          <w:color w:val="auto"/>
        </w:rPr>
      </w:pPr>
      <w:r>
        <w:rPr>
          <w:rFonts w:ascii="Arial" w:cs="Arial" w:eastAsia="Arial" w:hAnsi="Arial"/>
          <w:sz w:val="18"/>
          <w:szCs w:val="18"/>
          <w:color w:val="auto"/>
        </w:rPr>
        <w:t>the risks outlined below and in other reports we file with the SEC. Actual events or our actual results could differ materially from our forward-looking statements as a result of any such factors, which could adversely affect our businesses, results of operations or financial condition. We undertake no obligation to update any forward-looking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117" w:lineRule="exact"/>
        <w:rPr>
          <w:sz w:val="20"/>
          <w:szCs w:val="20"/>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businesses currently face a wide range of competition, and our businesses and results of operations could be adversely affected if we do not compete effectively</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consumer behavior driven by online distribution platforms for viewing content could adversely affect our businesses and challenge existing business models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decline in advertisers’ expenditures or changes in advertising markets could negatively impact our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businesses depend on keeping pace with technological developments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are subject to regulation by federal, state, local and foreign authorities, which impose additional costs and restrictions on our businesses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programming expenses for our video services are increasing, which could adversely affect our Cable Communications segment’s video business</w:t>
      </w:r>
    </w:p>
    <w:p>
      <w:pPr>
        <w:spacing w:after="0" w:line="86"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NBCUniversal’s success depends on consumer acceptance of its content, and its businesses may be adversely affected if its content fails to achieve sufficient consumer acceptance or the costs to create or acquire content increase</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NBCUniversal’s programming distribution agreements, or the renewal of these agreements on less favorable terms, could adversely affect its businesses</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businesses depend on using and protecting certain intellectual property rights and on not infringing the intellectual property rights of others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acquisitions and other strategic initiatives present many risks, and we may not realize the financial and strategic goals that we had contemplated</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labor disputes, whether involving employees or sports organizations, may disrupt our operations and adversely affect our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key management personnel or popular on-air and creative talent could have an adverse effect on our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businesses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ectPr>
          <w:pgSz w:w="11900" w:h="16838" w:orient="portrait"/>
          <w:cols w:equalWidth="0" w:num="1">
            <w:col w:w="11420"/>
          </w:cols>
          <w:pgMar w:left="240" w:top="436"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60" w:type="dxa"/>
            <w:vAlign w:val="bottom"/>
          </w:tcPr>
          <w:p>
            <w:pPr>
              <w:spacing w:after="0"/>
              <w:rPr>
                <w:sz w:val="14"/>
                <w:szCs w:val="14"/>
                <w:color w:val="auto"/>
              </w:rPr>
            </w:pPr>
          </w:p>
        </w:tc>
      </w:tr>
      <w:tr>
        <w:trPr>
          <w:trHeight w:val="188"/>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4"/>
                <w:szCs w:val="14"/>
                <w:color w:val="auto"/>
              </w:rPr>
              <w:t>June 30</w:t>
            </w:r>
          </w:p>
        </w:tc>
        <w:tc>
          <w:tcPr>
            <w:tcW w:w="10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 share data)</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color w:val="auto"/>
              </w:rPr>
              <w:t>2018</w:t>
            </w:r>
          </w:p>
        </w:tc>
        <w:tc>
          <w:tcPr>
            <w:tcW w:w="6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color w:val="auto"/>
              </w:rPr>
              <w:t>2017</w:t>
            </w: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color w:val="auto"/>
              </w:rPr>
              <w:t>2018</w:t>
            </w: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2017</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21,735</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21,286</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44,526</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41,873</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6,300</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6,330</w:t>
            </w:r>
          </w:p>
        </w:tc>
        <w:tc>
          <w:tcPr>
            <w:tcW w:w="48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13,729</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12,391</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6,365</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6,168</w:t>
            </w:r>
          </w:p>
        </w:tc>
        <w:tc>
          <w:tcPr>
            <w:tcW w:w="48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12,879</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12,107</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1,653</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1,713</w:t>
            </w:r>
          </w:p>
        </w:tc>
        <w:tc>
          <w:tcPr>
            <w:tcW w:w="48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3,257</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3,290</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2,021</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1,970</w:t>
            </w:r>
          </w:p>
        </w:tc>
        <w:tc>
          <w:tcPr>
            <w:tcW w:w="48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4,032</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3,885</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582</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537</w:t>
            </w:r>
          </w:p>
        </w:tc>
        <w:tc>
          <w:tcPr>
            <w:tcW w:w="48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1,170</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1,090</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Other operating gains</w:t>
            </w:r>
          </w:p>
        </w:tc>
        <w:tc>
          <w:tcPr>
            <w:tcW w:w="360" w:type="dxa"/>
            <w:vAlign w:val="bottom"/>
          </w:tcPr>
          <w:p>
            <w:pPr>
              <w:spacing w:after="0"/>
              <w:rPr>
                <w:sz w:val="23"/>
                <w:szCs w:val="23"/>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(200)</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(200)</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360" w:type="dxa"/>
            <w:vAlign w:val="bottom"/>
          </w:tcPr>
          <w:p>
            <w:pPr>
              <w:spacing w:after="0"/>
              <w:rPr>
                <w:sz w:val="20"/>
                <w:szCs w:val="20"/>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16,721</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16,718</w:t>
            </w:r>
          </w:p>
        </w:tc>
        <w:tc>
          <w:tcPr>
            <w:tcW w:w="480" w:type="dxa"/>
            <w:vAlign w:val="bottom"/>
          </w:tcPr>
          <w:p>
            <w:pPr>
              <w:spacing w:after="0"/>
              <w:rPr>
                <w:sz w:val="20"/>
                <w:szCs w:val="20"/>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34,867</w:t>
            </w:r>
          </w:p>
        </w:tc>
        <w:tc>
          <w:tcPr>
            <w:tcW w:w="64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32,763</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Pr>
          <w:p>
            <w:pPr>
              <w:spacing w:after="0"/>
              <w:rPr>
                <w:sz w:val="20"/>
                <w:szCs w:val="20"/>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5,014</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4,568</w:t>
            </w:r>
          </w:p>
        </w:tc>
        <w:tc>
          <w:tcPr>
            <w:tcW w:w="480" w:type="dxa"/>
            <w:vAlign w:val="bottom"/>
          </w:tcPr>
          <w:p>
            <w:pPr>
              <w:spacing w:after="0"/>
              <w:rPr>
                <w:sz w:val="20"/>
                <w:szCs w:val="20"/>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9,659</w:t>
            </w:r>
          </w:p>
        </w:tc>
        <w:tc>
          <w:tcPr>
            <w:tcW w:w="64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9,110</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3"/>
                <w:szCs w:val="23"/>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(806)</w:t>
            </w:r>
          </w:p>
        </w:tc>
        <w:tc>
          <w:tcPr>
            <w:tcW w:w="6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(758)</w:t>
            </w:r>
          </w:p>
        </w:tc>
        <w:tc>
          <w:tcPr>
            <w:tcW w:w="48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(1,583)</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(1,513)</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Investment and other income (loss), net</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77</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99</w:t>
            </w:r>
          </w:p>
        </w:tc>
        <w:tc>
          <w:tcPr>
            <w:tcW w:w="48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203</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229</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20"/>
                <w:szCs w:val="20"/>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4,285</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3,909</w:t>
            </w:r>
          </w:p>
        </w:tc>
        <w:tc>
          <w:tcPr>
            <w:tcW w:w="480" w:type="dxa"/>
            <w:vAlign w:val="bottom"/>
          </w:tcPr>
          <w:p>
            <w:pPr>
              <w:spacing w:after="0"/>
              <w:rPr>
                <w:sz w:val="20"/>
                <w:szCs w:val="20"/>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8,279</w:t>
            </w:r>
          </w:p>
        </w:tc>
        <w:tc>
          <w:tcPr>
            <w:tcW w:w="64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7,826</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3"/>
                <w:szCs w:val="23"/>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(1,077)</w:t>
            </w:r>
          </w:p>
        </w:tc>
        <w:tc>
          <w:tcPr>
            <w:tcW w:w="6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(1,367)</w:t>
            </w:r>
          </w:p>
        </w:tc>
        <w:tc>
          <w:tcPr>
            <w:tcW w:w="48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(1,895)</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(2,629)</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20"/>
                <w:szCs w:val="20"/>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3,208</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2,542</w:t>
            </w:r>
          </w:p>
        </w:tc>
        <w:tc>
          <w:tcPr>
            <w:tcW w:w="480" w:type="dxa"/>
            <w:vAlign w:val="bottom"/>
          </w:tcPr>
          <w:p>
            <w:pPr>
              <w:spacing w:after="0"/>
              <w:rPr>
                <w:sz w:val="20"/>
                <w:szCs w:val="20"/>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6,384</w:t>
            </w:r>
          </w:p>
        </w:tc>
        <w:tc>
          <w:tcPr>
            <w:tcW w:w="64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5,197</w:t>
            </w:r>
          </w:p>
        </w:tc>
      </w:tr>
      <w:tr>
        <w:trPr>
          <w:trHeight w:val="256"/>
        </w:trPr>
        <w:tc>
          <w:tcPr>
            <w:tcW w:w="4800" w:type="dxa"/>
            <w:vAlign w:val="bottom"/>
          </w:tcPr>
          <w:p>
            <w:pPr>
              <w:ind w:left="40"/>
              <w:spacing w:after="0"/>
              <w:rPr>
                <w:sz w:val="20"/>
                <w:szCs w:val="20"/>
                <w:color w:val="auto"/>
              </w:rPr>
            </w:pPr>
            <w:r>
              <w:rPr>
                <w:rFonts w:ascii="Arial" w:cs="Arial" w:eastAsia="Arial" w:hAnsi="Arial"/>
                <w:sz w:val="18"/>
                <w:szCs w:val="18"/>
                <w:color w:val="auto"/>
                <w:w w:val="96"/>
              </w:rPr>
              <w:t>Less: Net income (loss) attributable to noncontrolling interests</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4800" w:type="dxa"/>
            <w:vAlign w:val="bottom"/>
          </w:tcPr>
          <w:p>
            <w:pPr>
              <w:ind w:left="200"/>
              <w:spacing w:after="0"/>
              <w:rPr>
                <w:sz w:val="20"/>
                <w:szCs w:val="20"/>
                <w:color w:val="auto"/>
              </w:rPr>
            </w:pPr>
            <w:r>
              <w:rPr>
                <w:rFonts w:ascii="Arial" w:cs="Arial" w:eastAsia="Arial" w:hAnsi="Arial"/>
                <w:sz w:val="18"/>
                <w:szCs w:val="18"/>
                <w:color w:val="auto"/>
              </w:rPr>
              <w:t>and redeemable subsidiary preferred stock</w:t>
            </w:r>
          </w:p>
        </w:tc>
        <w:tc>
          <w:tcPr>
            <w:tcW w:w="360" w:type="dxa"/>
            <w:vAlign w:val="bottom"/>
          </w:tcPr>
          <w:p>
            <w:pPr>
              <w:spacing w:after="0"/>
              <w:rPr>
                <w:sz w:val="20"/>
                <w:szCs w:val="20"/>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(8)</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21</w:t>
            </w:r>
          </w:p>
        </w:tc>
        <w:tc>
          <w:tcPr>
            <w:tcW w:w="480" w:type="dxa"/>
            <w:vAlign w:val="bottom"/>
          </w:tcPr>
          <w:p>
            <w:pPr>
              <w:spacing w:after="0"/>
              <w:rPr>
                <w:sz w:val="20"/>
                <w:szCs w:val="20"/>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50</w:t>
            </w:r>
          </w:p>
        </w:tc>
        <w:tc>
          <w:tcPr>
            <w:tcW w:w="64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103</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32"/>
              <w:spacing w:after="0"/>
              <w:rPr>
                <w:sz w:val="20"/>
                <w:szCs w:val="20"/>
                <w:color w:val="auto"/>
              </w:rPr>
            </w:pPr>
            <w:r>
              <w:rPr>
                <w:rFonts w:ascii="Arial" w:cs="Arial" w:eastAsia="Arial" w:hAnsi="Arial"/>
                <w:sz w:val="18"/>
                <w:szCs w:val="18"/>
                <w:b w:val="1"/>
                <w:bCs w:val="1"/>
                <w:color w:val="auto"/>
              </w:rPr>
              <w:t>3,216</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b w:val="1"/>
                <w:bCs w:val="1"/>
                <w:color w:val="auto"/>
              </w:rPr>
              <w:t>2,521</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12"/>
              <w:spacing w:after="0"/>
              <w:rPr>
                <w:sz w:val="20"/>
                <w:szCs w:val="20"/>
                <w:color w:val="auto"/>
              </w:rPr>
            </w:pPr>
            <w:r>
              <w:rPr>
                <w:rFonts w:ascii="Arial" w:cs="Arial" w:eastAsia="Arial" w:hAnsi="Arial"/>
                <w:sz w:val="18"/>
                <w:szCs w:val="18"/>
                <w:b w:val="1"/>
                <w:bCs w:val="1"/>
                <w:color w:val="auto"/>
              </w:rPr>
              <w:t>6,334</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5,094</w:t>
            </w:r>
          </w:p>
        </w:tc>
      </w:tr>
      <w:tr>
        <w:trPr>
          <w:trHeight w:val="34"/>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5"/>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w w:val="94"/>
              </w:rPr>
              <w:t>Basic earnings per common share attributable to Comcast</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4"/>
        </w:trPr>
        <w:tc>
          <w:tcPr>
            <w:tcW w:w="4800" w:type="dxa"/>
            <w:vAlign w:val="bottom"/>
          </w:tcPr>
          <w:p>
            <w:pPr>
              <w:ind w:left="200"/>
              <w:spacing w:after="0"/>
              <w:rPr>
                <w:sz w:val="20"/>
                <w:szCs w:val="20"/>
                <w:color w:val="auto"/>
              </w:rPr>
            </w:pPr>
            <w:r>
              <w:rPr>
                <w:rFonts w:ascii="Arial" w:cs="Arial" w:eastAsia="Arial" w:hAnsi="Arial"/>
                <w:sz w:val="18"/>
                <w:szCs w:val="18"/>
                <w:b w:val="1"/>
                <w:bCs w:val="1"/>
                <w:color w:val="auto"/>
              </w:rPr>
              <w:t>Corporation shareholders</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32"/>
              <w:spacing w:after="0"/>
              <w:rPr>
                <w:sz w:val="20"/>
                <w:szCs w:val="20"/>
                <w:color w:val="auto"/>
              </w:rPr>
            </w:pPr>
            <w:r>
              <w:rPr>
                <w:rFonts w:ascii="Arial" w:cs="Arial" w:eastAsia="Arial" w:hAnsi="Arial"/>
                <w:sz w:val="18"/>
                <w:szCs w:val="18"/>
                <w:b w:val="1"/>
                <w:bCs w:val="1"/>
                <w:color w:val="auto"/>
              </w:rPr>
              <w:t>0.70</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b w:val="1"/>
                <w:bCs w:val="1"/>
                <w:color w:val="auto"/>
              </w:rPr>
              <w:t>0.53</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12"/>
              <w:spacing w:after="0"/>
              <w:rPr>
                <w:sz w:val="20"/>
                <w:szCs w:val="20"/>
                <w:color w:val="auto"/>
              </w:rPr>
            </w:pPr>
            <w:r>
              <w:rPr>
                <w:rFonts w:ascii="Arial" w:cs="Arial" w:eastAsia="Arial" w:hAnsi="Arial"/>
                <w:sz w:val="18"/>
                <w:szCs w:val="18"/>
                <w:b w:val="1"/>
                <w:bCs w:val="1"/>
                <w:color w:val="auto"/>
              </w:rPr>
              <w:t>1.37</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1.08</w:t>
            </w:r>
          </w:p>
        </w:tc>
      </w:tr>
      <w:tr>
        <w:trPr>
          <w:trHeight w:val="252"/>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w w:val="92"/>
              </w:rPr>
              <w:t>Diluted earnings per common share attributable to Comcast</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4"/>
        </w:trPr>
        <w:tc>
          <w:tcPr>
            <w:tcW w:w="4800" w:type="dxa"/>
            <w:vAlign w:val="bottom"/>
          </w:tcPr>
          <w:p>
            <w:pPr>
              <w:ind w:left="200"/>
              <w:spacing w:after="0"/>
              <w:rPr>
                <w:sz w:val="20"/>
                <w:szCs w:val="20"/>
                <w:color w:val="auto"/>
              </w:rPr>
            </w:pPr>
            <w:r>
              <w:rPr>
                <w:rFonts w:ascii="Arial" w:cs="Arial" w:eastAsia="Arial" w:hAnsi="Arial"/>
                <w:sz w:val="18"/>
                <w:szCs w:val="18"/>
                <w:b w:val="1"/>
                <w:bCs w:val="1"/>
                <w:color w:val="auto"/>
              </w:rPr>
              <w:t>Corporation shareholders</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32"/>
              <w:spacing w:after="0"/>
              <w:rPr>
                <w:sz w:val="20"/>
                <w:szCs w:val="20"/>
                <w:color w:val="auto"/>
              </w:rPr>
            </w:pPr>
            <w:r>
              <w:rPr>
                <w:rFonts w:ascii="Arial" w:cs="Arial" w:eastAsia="Arial" w:hAnsi="Arial"/>
                <w:sz w:val="18"/>
                <w:szCs w:val="18"/>
                <w:b w:val="1"/>
                <w:bCs w:val="1"/>
                <w:color w:val="auto"/>
              </w:rPr>
              <w:t>0.69</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b w:val="1"/>
                <w:bCs w:val="1"/>
                <w:color w:val="auto"/>
              </w:rPr>
              <w:t>0.52</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12"/>
              <w:spacing w:after="0"/>
              <w:rPr>
                <w:sz w:val="20"/>
                <w:szCs w:val="20"/>
                <w:color w:val="auto"/>
              </w:rPr>
            </w:pPr>
            <w:r>
              <w:rPr>
                <w:rFonts w:ascii="Arial" w:cs="Arial" w:eastAsia="Arial" w:hAnsi="Arial"/>
                <w:sz w:val="18"/>
                <w:szCs w:val="18"/>
                <w:b w:val="1"/>
                <w:bCs w:val="1"/>
                <w:color w:val="auto"/>
              </w:rPr>
              <w:t>1.36</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1.06</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Dividends declared per common share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32"/>
              <w:spacing w:after="0"/>
              <w:rPr>
                <w:sz w:val="20"/>
                <w:szCs w:val="20"/>
                <w:color w:val="auto"/>
              </w:rPr>
            </w:pPr>
            <w:r>
              <w:rPr>
                <w:rFonts w:ascii="Arial" w:cs="Arial" w:eastAsia="Arial" w:hAnsi="Arial"/>
                <w:sz w:val="18"/>
                <w:szCs w:val="18"/>
                <w:b w:val="1"/>
                <w:bCs w:val="1"/>
                <w:color w:val="auto"/>
              </w:rPr>
              <w:t>0.19</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b w:val="1"/>
                <w:bCs w:val="1"/>
                <w:color w:val="auto"/>
              </w:rPr>
              <w:t>0.1575</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12"/>
              <w:spacing w:after="0"/>
              <w:rPr>
                <w:sz w:val="20"/>
                <w:szCs w:val="20"/>
                <w:color w:val="auto"/>
              </w:rPr>
            </w:pPr>
            <w:r>
              <w:rPr>
                <w:rFonts w:ascii="Arial" w:cs="Arial" w:eastAsia="Arial" w:hAnsi="Arial"/>
                <w:sz w:val="18"/>
                <w:szCs w:val="18"/>
                <w:b w:val="1"/>
                <w:bCs w:val="1"/>
                <w:color w:val="auto"/>
              </w:rPr>
              <w:t>0.38</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0.315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75"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60" w:type="dxa"/>
            <w:vAlign w:val="bottom"/>
          </w:tcPr>
          <w:p>
            <w:pPr>
              <w:spacing w:after="0"/>
              <w:rPr>
                <w:sz w:val="14"/>
                <w:szCs w:val="14"/>
                <w:color w:val="auto"/>
              </w:rPr>
            </w:pPr>
          </w:p>
        </w:tc>
      </w:tr>
      <w:tr>
        <w:trPr>
          <w:trHeight w:val="188"/>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4"/>
                <w:szCs w:val="14"/>
                <w:color w:val="auto"/>
              </w:rPr>
              <w:t>June 30</w:t>
            </w:r>
          </w:p>
        </w:tc>
        <w:tc>
          <w:tcPr>
            <w:tcW w:w="10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color w:val="auto"/>
              </w:rPr>
              <w:t>2018</w:t>
            </w:r>
          </w:p>
        </w:tc>
        <w:tc>
          <w:tcPr>
            <w:tcW w:w="6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2017</w:t>
            </w: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2018</w:t>
            </w: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color w:val="auto"/>
              </w:rPr>
              <w:t>2017</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3,208</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2,542</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6,384</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5,197</w:t>
            </w:r>
          </w:p>
        </w:tc>
      </w:tr>
      <w:tr>
        <w:trPr>
          <w:trHeight w:val="256"/>
        </w:trPr>
        <w:tc>
          <w:tcPr>
            <w:tcW w:w="4800" w:type="dxa"/>
            <w:vAlign w:val="bottom"/>
          </w:tcPr>
          <w:p>
            <w:pPr>
              <w:ind w:left="40"/>
              <w:spacing w:after="0"/>
              <w:rPr>
                <w:sz w:val="20"/>
                <w:szCs w:val="20"/>
                <w:color w:val="auto"/>
              </w:rPr>
            </w:pPr>
            <w:r>
              <w:rPr>
                <w:rFonts w:ascii="Arial" w:cs="Arial" w:eastAsia="Arial" w:hAnsi="Arial"/>
                <w:sz w:val="18"/>
                <w:szCs w:val="18"/>
                <w:color w:val="auto"/>
              </w:rPr>
              <w:t>Unrealized gains (losses) on marketable securities, net of</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4800" w:type="dxa"/>
            <w:vAlign w:val="bottom"/>
          </w:tcPr>
          <w:p>
            <w:pPr>
              <w:ind w:left="200"/>
              <w:spacing w:after="0"/>
              <w:rPr>
                <w:sz w:val="20"/>
                <w:szCs w:val="20"/>
                <w:color w:val="auto"/>
              </w:rPr>
            </w:pPr>
            <w:r>
              <w:rPr>
                <w:rFonts w:ascii="Arial" w:cs="Arial" w:eastAsia="Arial" w:hAnsi="Arial"/>
                <w:sz w:val="18"/>
                <w:szCs w:val="18"/>
                <w:color w:val="auto"/>
              </w:rPr>
              <w:t>deferred taxes of $—, $52, $—, and $(9)</w:t>
            </w:r>
          </w:p>
        </w:tc>
        <w:tc>
          <w:tcPr>
            <w:tcW w:w="360" w:type="dxa"/>
            <w:vAlign w:val="bottom"/>
          </w:tcPr>
          <w:p>
            <w:pPr>
              <w:spacing w:after="0"/>
              <w:rPr>
                <w:sz w:val="20"/>
                <w:szCs w:val="20"/>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(1)</w:t>
            </w:r>
          </w:p>
        </w:tc>
        <w:tc>
          <w:tcPr>
            <w:tcW w:w="68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(87)</w:t>
            </w:r>
          </w:p>
        </w:tc>
        <w:tc>
          <w:tcPr>
            <w:tcW w:w="480" w:type="dxa"/>
            <w:vAlign w:val="bottom"/>
          </w:tcPr>
          <w:p>
            <w:pPr>
              <w:spacing w:after="0"/>
              <w:rPr>
                <w:sz w:val="20"/>
                <w:szCs w:val="20"/>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(2)</w:t>
            </w:r>
          </w:p>
        </w:tc>
        <w:tc>
          <w:tcPr>
            <w:tcW w:w="64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17</w:t>
            </w:r>
          </w:p>
        </w:tc>
      </w:tr>
      <w:tr>
        <w:trPr>
          <w:trHeight w:val="256"/>
        </w:trPr>
        <w:tc>
          <w:tcPr>
            <w:tcW w:w="4800" w:type="dxa"/>
            <w:vAlign w:val="bottom"/>
          </w:tcPr>
          <w:p>
            <w:pPr>
              <w:ind w:left="40"/>
              <w:spacing w:after="0"/>
              <w:rPr>
                <w:sz w:val="20"/>
                <w:szCs w:val="20"/>
                <w:color w:val="auto"/>
              </w:rPr>
            </w:pPr>
            <w:r>
              <w:rPr>
                <w:rFonts w:ascii="Arial" w:cs="Arial" w:eastAsia="Arial" w:hAnsi="Arial"/>
                <w:sz w:val="18"/>
                <w:szCs w:val="18"/>
                <w:color w:val="auto"/>
                <w:w w:val="89"/>
              </w:rPr>
              <w:t>Deferred gains (losses) on cash flow hedges, net of deferred taxes</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4800" w:type="dxa"/>
            <w:vAlign w:val="bottom"/>
          </w:tcPr>
          <w:p>
            <w:pPr>
              <w:ind w:left="200"/>
              <w:spacing w:after="0"/>
              <w:rPr>
                <w:sz w:val="20"/>
                <w:szCs w:val="20"/>
                <w:color w:val="auto"/>
              </w:rPr>
            </w:pPr>
            <w:r>
              <w:rPr>
                <w:rFonts w:ascii="Arial" w:cs="Arial" w:eastAsia="Arial" w:hAnsi="Arial"/>
                <w:sz w:val="18"/>
                <w:szCs w:val="18"/>
                <w:color w:val="auto"/>
              </w:rPr>
              <w:t>of $12, $(3), $3, and $(7)</w:t>
            </w:r>
          </w:p>
        </w:tc>
        <w:tc>
          <w:tcPr>
            <w:tcW w:w="360" w:type="dxa"/>
            <w:vAlign w:val="bottom"/>
          </w:tcPr>
          <w:p>
            <w:pPr>
              <w:spacing w:after="0"/>
              <w:rPr>
                <w:sz w:val="20"/>
                <w:szCs w:val="20"/>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(40)</w:t>
            </w:r>
          </w:p>
        </w:tc>
        <w:tc>
          <w:tcPr>
            <w:tcW w:w="6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20"/>
                <w:szCs w:val="20"/>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(11)</w:t>
            </w:r>
          </w:p>
        </w:tc>
        <w:tc>
          <w:tcPr>
            <w:tcW w:w="64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Amounts reclassified to net income:</w:t>
            </w: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6"/>
        </w:trPr>
        <w:tc>
          <w:tcPr>
            <w:tcW w:w="4800" w:type="dxa"/>
            <w:vAlign w:val="bottom"/>
          </w:tcPr>
          <w:p>
            <w:pPr>
              <w:ind w:left="380"/>
              <w:spacing w:after="0"/>
              <w:rPr>
                <w:sz w:val="20"/>
                <w:szCs w:val="20"/>
                <w:color w:val="auto"/>
              </w:rPr>
            </w:pPr>
            <w:r>
              <w:rPr>
                <w:rFonts w:ascii="Arial" w:cs="Arial" w:eastAsia="Arial" w:hAnsi="Arial"/>
                <w:sz w:val="18"/>
                <w:szCs w:val="18"/>
                <w:color w:val="auto"/>
                <w:w w:val="91"/>
              </w:rPr>
              <w:t>Realized (gains) losses on cash flow hedges, net of deferred</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4800" w:type="dxa"/>
            <w:vAlign w:val="bottom"/>
          </w:tcPr>
          <w:p>
            <w:pPr>
              <w:ind w:left="540"/>
              <w:spacing w:after="0"/>
              <w:rPr>
                <w:sz w:val="20"/>
                <w:szCs w:val="20"/>
                <w:color w:val="auto"/>
              </w:rPr>
            </w:pPr>
            <w:r>
              <w:rPr>
                <w:rFonts w:ascii="Arial" w:cs="Arial" w:eastAsia="Arial" w:hAnsi="Arial"/>
                <w:sz w:val="18"/>
                <w:szCs w:val="18"/>
                <w:color w:val="auto"/>
              </w:rPr>
              <w:t>taxes of $(14), $8, $(8) and $8</w:t>
            </w:r>
          </w:p>
        </w:tc>
        <w:tc>
          <w:tcPr>
            <w:tcW w:w="360" w:type="dxa"/>
            <w:vAlign w:val="bottom"/>
          </w:tcPr>
          <w:p>
            <w:pPr>
              <w:spacing w:after="0"/>
              <w:rPr>
                <w:sz w:val="20"/>
                <w:szCs w:val="20"/>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46</w:t>
            </w:r>
          </w:p>
        </w:tc>
        <w:tc>
          <w:tcPr>
            <w:tcW w:w="68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(14)</w:t>
            </w:r>
          </w:p>
        </w:tc>
        <w:tc>
          <w:tcPr>
            <w:tcW w:w="480" w:type="dxa"/>
            <w:vAlign w:val="bottom"/>
          </w:tcPr>
          <w:p>
            <w:pPr>
              <w:spacing w:after="0"/>
              <w:rPr>
                <w:sz w:val="20"/>
                <w:szCs w:val="20"/>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26</w:t>
            </w:r>
          </w:p>
        </w:tc>
        <w:tc>
          <w:tcPr>
            <w:tcW w:w="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56"/>
        </w:trPr>
        <w:tc>
          <w:tcPr>
            <w:tcW w:w="4800" w:type="dxa"/>
            <w:vAlign w:val="bottom"/>
          </w:tcPr>
          <w:p>
            <w:pPr>
              <w:ind w:left="40"/>
              <w:spacing w:after="0"/>
              <w:rPr>
                <w:sz w:val="20"/>
                <w:szCs w:val="20"/>
                <w:color w:val="auto"/>
              </w:rPr>
            </w:pPr>
            <w:r>
              <w:rPr>
                <w:rFonts w:ascii="Arial" w:cs="Arial" w:eastAsia="Arial" w:hAnsi="Arial"/>
                <w:sz w:val="18"/>
                <w:szCs w:val="18"/>
                <w:color w:val="auto"/>
                <w:w w:val="92"/>
              </w:rPr>
              <w:t>Employee benefit obligations, net of deferred taxes of $3, $4, $5</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4800" w:type="dxa"/>
            <w:vAlign w:val="bottom"/>
          </w:tcPr>
          <w:p>
            <w:pPr>
              <w:ind w:left="200"/>
              <w:spacing w:after="0"/>
              <w:rPr>
                <w:sz w:val="20"/>
                <w:szCs w:val="20"/>
                <w:color w:val="auto"/>
              </w:rPr>
            </w:pPr>
            <w:r>
              <w:rPr>
                <w:rFonts w:ascii="Arial" w:cs="Arial" w:eastAsia="Arial" w:hAnsi="Arial"/>
                <w:sz w:val="18"/>
                <w:szCs w:val="18"/>
                <w:color w:val="auto"/>
              </w:rPr>
              <w:t>and $(33)</w:t>
            </w:r>
          </w:p>
        </w:tc>
        <w:tc>
          <w:tcPr>
            <w:tcW w:w="360" w:type="dxa"/>
            <w:vAlign w:val="bottom"/>
          </w:tcPr>
          <w:p>
            <w:pPr>
              <w:spacing w:after="0"/>
              <w:rPr>
                <w:sz w:val="20"/>
                <w:szCs w:val="20"/>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(8)</w:t>
            </w:r>
          </w:p>
        </w:tc>
        <w:tc>
          <w:tcPr>
            <w:tcW w:w="68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20"/>
                <w:szCs w:val="20"/>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(16)</w:t>
            </w:r>
          </w:p>
        </w:tc>
        <w:tc>
          <w:tcPr>
            <w:tcW w:w="64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57</w:t>
            </w:r>
          </w:p>
        </w:tc>
      </w:tr>
      <w:tr>
        <w:trPr>
          <w:trHeight w:val="256"/>
        </w:trPr>
        <w:tc>
          <w:tcPr>
            <w:tcW w:w="4800" w:type="dxa"/>
            <w:vAlign w:val="bottom"/>
          </w:tcPr>
          <w:p>
            <w:pPr>
              <w:ind w:left="40"/>
              <w:spacing w:after="0"/>
              <w:rPr>
                <w:sz w:val="20"/>
                <w:szCs w:val="20"/>
                <w:color w:val="auto"/>
              </w:rPr>
            </w:pPr>
            <w:r>
              <w:rPr>
                <w:rFonts w:ascii="Arial" w:cs="Arial" w:eastAsia="Arial" w:hAnsi="Arial"/>
                <w:sz w:val="18"/>
                <w:szCs w:val="18"/>
                <w:color w:val="auto"/>
                <w:w w:val="95"/>
              </w:rPr>
              <w:t>Currency translation adjustments, net of deferred taxes of $44,</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4800" w:type="dxa"/>
            <w:vAlign w:val="bottom"/>
          </w:tcPr>
          <w:p>
            <w:pPr>
              <w:ind w:left="200"/>
              <w:spacing w:after="0"/>
              <w:rPr>
                <w:sz w:val="20"/>
                <w:szCs w:val="20"/>
                <w:color w:val="auto"/>
              </w:rPr>
            </w:pPr>
            <w:r>
              <w:rPr>
                <w:rFonts w:ascii="Arial" w:cs="Arial" w:eastAsia="Arial" w:hAnsi="Arial"/>
                <w:sz w:val="18"/>
                <w:szCs w:val="18"/>
                <w:color w:val="auto"/>
              </w:rPr>
              <w:t>$2, $(3) and $(39)</w:t>
            </w:r>
          </w:p>
        </w:tc>
        <w:tc>
          <w:tcPr>
            <w:tcW w:w="360" w:type="dxa"/>
            <w:vAlign w:val="bottom"/>
          </w:tcPr>
          <w:p>
            <w:pPr>
              <w:spacing w:after="0"/>
              <w:rPr>
                <w:sz w:val="20"/>
                <w:szCs w:val="20"/>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(173)</w:t>
            </w:r>
          </w:p>
        </w:tc>
        <w:tc>
          <w:tcPr>
            <w:tcW w:w="68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20"/>
                <w:szCs w:val="20"/>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(16)</w:t>
            </w:r>
          </w:p>
        </w:tc>
        <w:tc>
          <w:tcPr>
            <w:tcW w:w="64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146</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60" w:type="dxa"/>
            <w:vAlign w:val="bottom"/>
          </w:tcPr>
          <w:p>
            <w:pPr>
              <w:spacing w:after="0"/>
              <w:rPr>
                <w:sz w:val="20"/>
                <w:szCs w:val="20"/>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3,032</w:t>
            </w:r>
          </w:p>
        </w:tc>
        <w:tc>
          <w:tcPr>
            <w:tcW w:w="6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2,429</w:t>
            </w:r>
          </w:p>
        </w:tc>
        <w:tc>
          <w:tcPr>
            <w:tcW w:w="480" w:type="dxa"/>
            <w:vAlign w:val="bottom"/>
          </w:tcPr>
          <w:p>
            <w:pPr>
              <w:spacing w:after="0"/>
              <w:rPr>
                <w:sz w:val="20"/>
                <w:szCs w:val="20"/>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6,365</w:t>
            </w:r>
          </w:p>
        </w:tc>
        <w:tc>
          <w:tcPr>
            <w:tcW w:w="64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5,415</w:t>
            </w:r>
          </w:p>
        </w:tc>
      </w:tr>
      <w:tr>
        <w:trPr>
          <w:trHeight w:val="256"/>
        </w:trPr>
        <w:tc>
          <w:tcPr>
            <w:tcW w:w="4800" w:type="dxa"/>
            <w:vAlign w:val="bottom"/>
          </w:tcPr>
          <w:p>
            <w:pPr>
              <w:ind w:left="40"/>
              <w:spacing w:after="0"/>
              <w:rPr>
                <w:sz w:val="20"/>
                <w:szCs w:val="20"/>
                <w:color w:val="auto"/>
              </w:rPr>
            </w:pPr>
            <w:r>
              <w:rPr>
                <w:rFonts w:ascii="Arial" w:cs="Arial" w:eastAsia="Arial" w:hAnsi="Arial"/>
                <w:sz w:val="18"/>
                <w:szCs w:val="18"/>
                <w:color w:val="auto"/>
                <w:w w:val="96"/>
              </w:rPr>
              <w:t>Less: Net income (loss) attributable to noncontrolling interests</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4800" w:type="dxa"/>
            <w:vAlign w:val="bottom"/>
          </w:tcPr>
          <w:p>
            <w:pPr>
              <w:ind w:left="200"/>
              <w:spacing w:after="0"/>
              <w:rPr>
                <w:sz w:val="20"/>
                <w:szCs w:val="20"/>
                <w:color w:val="auto"/>
              </w:rPr>
            </w:pPr>
            <w:r>
              <w:rPr>
                <w:rFonts w:ascii="Arial" w:cs="Arial" w:eastAsia="Arial" w:hAnsi="Arial"/>
                <w:sz w:val="18"/>
                <w:szCs w:val="18"/>
                <w:color w:val="auto"/>
              </w:rPr>
              <w:t>and redeemable subsidiary preferred stock</w:t>
            </w:r>
          </w:p>
        </w:tc>
        <w:tc>
          <w:tcPr>
            <w:tcW w:w="360" w:type="dxa"/>
            <w:vAlign w:val="bottom"/>
          </w:tcPr>
          <w:p>
            <w:pPr>
              <w:spacing w:after="0"/>
              <w:rPr>
                <w:sz w:val="20"/>
                <w:szCs w:val="20"/>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(8)</w:t>
            </w:r>
          </w:p>
        </w:tc>
        <w:tc>
          <w:tcPr>
            <w:tcW w:w="6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21</w:t>
            </w:r>
          </w:p>
        </w:tc>
        <w:tc>
          <w:tcPr>
            <w:tcW w:w="480" w:type="dxa"/>
            <w:vAlign w:val="bottom"/>
          </w:tcPr>
          <w:p>
            <w:pPr>
              <w:spacing w:after="0"/>
              <w:rPr>
                <w:sz w:val="20"/>
                <w:szCs w:val="20"/>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50</w:t>
            </w:r>
          </w:p>
        </w:tc>
        <w:tc>
          <w:tcPr>
            <w:tcW w:w="64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103</w:t>
            </w:r>
          </w:p>
        </w:tc>
      </w:tr>
      <w:tr>
        <w:trPr>
          <w:trHeight w:val="256"/>
        </w:trPr>
        <w:tc>
          <w:tcPr>
            <w:tcW w:w="4800" w:type="dxa"/>
            <w:vAlign w:val="bottom"/>
          </w:tcPr>
          <w:p>
            <w:pPr>
              <w:ind w:left="40"/>
              <w:spacing w:after="0"/>
              <w:rPr>
                <w:sz w:val="20"/>
                <w:szCs w:val="20"/>
                <w:color w:val="auto"/>
              </w:rPr>
            </w:pPr>
            <w:r>
              <w:rPr>
                <w:rFonts w:ascii="Arial" w:cs="Arial" w:eastAsia="Arial" w:hAnsi="Arial"/>
                <w:sz w:val="18"/>
                <w:szCs w:val="18"/>
                <w:color w:val="auto"/>
              </w:rPr>
              <w:t>Less: Other comprehensive income (loss) attributable to</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480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360" w:type="dxa"/>
            <w:vAlign w:val="bottom"/>
          </w:tcPr>
          <w:p>
            <w:pPr>
              <w:spacing w:after="0"/>
              <w:rPr>
                <w:sz w:val="20"/>
                <w:szCs w:val="20"/>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(29)</w:t>
            </w:r>
          </w:p>
        </w:tc>
        <w:tc>
          <w:tcPr>
            <w:tcW w:w="68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20"/>
                <w:szCs w:val="20"/>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(25)</w:t>
            </w:r>
          </w:p>
        </w:tc>
        <w:tc>
          <w:tcPr>
            <w:tcW w:w="64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82</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w w:val="91"/>
              </w:rPr>
              <w:t>Comprehensive income attributable to Comcast Corporation</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34"/>
              <w:spacing w:after="0"/>
              <w:rPr>
                <w:sz w:val="20"/>
                <w:szCs w:val="20"/>
                <w:color w:val="auto"/>
              </w:rPr>
            </w:pPr>
            <w:r>
              <w:rPr>
                <w:rFonts w:ascii="Arial" w:cs="Arial" w:eastAsia="Arial" w:hAnsi="Arial"/>
                <w:sz w:val="18"/>
                <w:szCs w:val="18"/>
                <w:b w:val="1"/>
                <w:bCs w:val="1"/>
                <w:color w:val="auto"/>
              </w:rPr>
              <w:t>3,069</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b w:val="1"/>
                <w:bCs w:val="1"/>
                <w:color w:val="auto"/>
              </w:rPr>
              <w:t>2,413</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14"/>
              <w:spacing w:after="0"/>
              <w:rPr>
                <w:sz w:val="20"/>
                <w:szCs w:val="20"/>
                <w:color w:val="auto"/>
              </w:rPr>
            </w:pPr>
            <w:r>
              <w:rPr>
                <w:rFonts w:ascii="Arial" w:cs="Arial" w:eastAsia="Arial" w:hAnsi="Arial"/>
                <w:sz w:val="18"/>
                <w:szCs w:val="18"/>
                <w:b w:val="1"/>
                <w:bCs w:val="1"/>
                <w:color w:val="auto"/>
              </w:rPr>
              <w:t>6,340</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5,230</w:t>
            </w:r>
          </w:p>
        </w:tc>
      </w:tr>
      <w:tr>
        <w:trPr>
          <w:trHeight w:val="34"/>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1"/>
        </w:trPr>
        <w:tc>
          <w:tcPr>
            <w:tcW w:w="480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539"/>
        </w:trPr>
        <w:tc>
          <w:tcPr>
            <w:tcW w:w="4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ind w:right="574"/>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60" w:type="dxa"/>
            <w:vAlign w:val="bottom"/>
          </w:tcPr>
          <w:p>
            <w:pPr>
              <w:spacing w:after="0"/>
              <w:rPr>
                <w:sz w:val="14"/>
                <w:szCs w:val="14"/>
                <w:color w:val="auto"/>
              </w:rPr>
            </w:pPr>
          </w:p>
        </w:tc>
      </w:tr>
      <w:tr>
        <w:trPr>
          <w:trHeight w:val="188"/>
        </w:trPr>
        <w:tc>
          <w:tcPr>
            <w:tcW w:w="8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2018</w:t>
            </w: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2017</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6,384</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5,197</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Depreciation, amortization and other operating gains</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5,002</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4,975</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Share-based compensation</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410</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391</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Noncash interest expense (income), net</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171</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122</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Net (gain) loss on investment activity and other</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(68)</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814</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477</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Current and noncurrent receivables, net</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(60)</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77</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Film and television costs, net</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68</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277</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(119)</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Other operating assets and liabilities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(65)</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(507)</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Pr>
          <w:p>
            <w:pPr>
              <w:spacing w:after="0"/>
              <w:rPr>
                <w:sz w:val="20"/>
                <w:szCs w:val="20"/>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12,537</w:t>
            </w:r>
          </w:p>
        </w:tc>
        <w:tc>
          <w:tcPr>
            <w:tcW w:w="64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10,749</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(4,223)</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(4,405)</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Cash paid for intangible assets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(930)</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(771)</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Acquisitions and construction of real estate properties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(104)</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Construction of Universal Beijing Resort</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(116)</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Acquisitions, net of cash acquired</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(88)</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(398)</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Proceeds from sales of investments</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113</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57</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Purchases of investments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(538)</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(1,825)</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580</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214</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60" w:type="dxa"/>
            <w:vAlign w:val="bottom"/>
          </w:tcPr>
          <w:p>
            <w:pPr>
              <w:spacing w:after="0"/>
              <w:rPr>
                <w:sz w:val="20"/>
                <w:szCs w:val="20"/>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b w:val="1"/>
                <w:bCs w:val="1"/>
                <w:color w:val="auto"/>
              </w:rPr>
              <w:t>(5,306)</w:t>
            </w:r>
          </w:p>
        </w:tc>
        <w:tc>
          <w:tcPr>
            <w:tcW w:w="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(7,407)</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Proceeds from (repayments of) short-term borrowings, net</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23</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(1,695)</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Proceeds from borrowings</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4,279</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8,963</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Repurchases and repayments of debt</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(4,347)</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(4,967)</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Repurchases of common stock under repurchase program and employee plans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(2,998)</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(2,476)</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(1,616)</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(1,404)</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Purchase of Universal Studios Japan noncontrolling interests</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(2,299)</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Distributions to noncontrolling interests and dividends for redeemable subsidiary preferred stock</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(140)</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(161)</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80</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60" w:type="dxa"/>
            <w:vAlign w:val="bottom"/>
          </w:tcPr>
          <w:p>
            <w:pPr>
              <w:spacing w:after="0"/>
              <w:rPr>
                <w:sz w:val="20"/>
                <w:szCs w:val="20"/>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b w:val="1"/>
                <w:bCs w:val="1"/>
                <w:color w:val="auto"/>
              </w:rPr>
              <w:t>(4,960)</w:t>
            </w:r>
          </w:p>
        </w:tc>
        <w:tc>
          <w:tcPr>
            <w:tcW w:w="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(3,935)</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Increase (decrease) in cash, cash equivalents and restricted cash</w:t>
            </w:r>
          </w:p>
        </w:tc>
        <w:tc>
          <w:tcPr>
            <w:tcW w:w="360" w:type="dxa"/>
            <w:vAlign w:val="bottom"/>
          </w:tcPr>
          <w:p>
            <w:pPr>
              <w:spacing w:after="0"/>
              <w:rPr>
                <w:sz w:val="20"/>
                <w:szCs w:val="20"/>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2,271</w:t>
            </w:r>
          </w:p>
        </w:tc>
        <w:tc>
          <w:tcPr>
            <w:tcW w:w="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(593)</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beginning of period</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3,571</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3,415</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5,842</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2,822</w:t>
            </w:r>
          </w:p>
        </w:tc>
      </w:tr>
      <w:tr>
        <w:trPr>
          <w:trHeight w:val="34"/>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1"/>
        </w:trPr>
        <w:tc>
          <w:tcPr>
            <w:tcW w:w="824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539"/>
        </w:trPr>
        <w:tc>
          <w:tcPr>
            <w:tcW w:w="8240" w:type="dxa"/>
            <w:vAlign w:val="bottom"/>
          </w:tcPr>
          <w:p>
            <w:pPr>
              <w:ind w:left="566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jc w:val="right"/>
              <w:ind w:right="531"/>
              <w:spacing w:after="0"/>
              <w:rPr>
                <w:sz w:val="20"/>
                <w:szCs w:val="20"/>
                <w:color w:val="auto"/>
              </w:rPr>
            </w:pPr>
            <w:r>
              <w:rPr>
                <w:rFonts w:ascii="Arial" w:cs="Arial" w:eastAsia="Arial" w:hAnsi="Arial"/>
                <w:sz w:val="14"/>
                <w:szCs w:val="14"/>
                <w:color w:val="auto"/>
              </w:rPr>
              <w:t>June 30,</w:t>
            </w:r>
          </w:p>
        </w:tc>
        <w:tc>
          <w:tcPr>
            <w:tcW w:w="340" w:type="dxa"/>
            <w:vAlign w:val="bottom"/>
          </w:tcPr>
          <w:p>
            <w:pPr>
              <w:spacing w:after="0"/>
              <w:rPr>
                <w:sz w:val="14"/>
                <w:szCs w:val="14"/>
                <w:color w:val="auto"/>
              </w:rPr>
            </w:pPr>
          </w:p>
        </w:tc>
        <w:tc>
          <w:tcPr>
            <w:tcW w:w="1260" w:type="dxa"/>
            <w:vAlign w:val="bottom"/>
          </w:tcPr>
          <w:p>
            <w:pPr>
              <w:jc w:val="right"/>
              <w:ind w:right="271"/>
              <w:spacing w:after="0"/>
              <w:rPr>
                <w:sz w:val="20"/>
                <w:szCs w:val="20"/>
                <w:color w:val="auto"/>
              </w:rPr>
            </w:pPr>
            <w:r>
              <w:rPr>
                <w:rFonts w:ascii="Arial" w:cs="Arial" w:eastAsia="Arial" w:hAnsi="Arial"/>
                <w:sz w:val="14"/>
                <w:szCs w:val="14"/>
                <w:color w:val="auto"/>
              </w:rPr>
              <w:t>December 31,</w:t>
            </w:r>
          </w:p>
        </w:tc>
      </w:tr>
      <w:tr>
        <w:trPr>
          <w:trHeight w:val="188"/>
        </w:trPr>
        <w:tc>
          <w:tcPr>
            <w:tcW w:w="8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share data)</w:t>
            </w: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color w:val="auto"/>
              </w:rPr>
              <w:t>2018</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2017</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5,726</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3,428</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8,847</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8,834</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Programming rights</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1,219</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1,613</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2,423</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2,468</w:t>
            </w:r>
          </w:p>
        </w:tc>
      </w:tr>
      <w:tr>
        <w:trPr>
          <w:trHeight w:val="27"/>
        </w:trPr>
        <w:tc>
          <w:tcPr>
            <w:tcW w:w="8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20"/>
                <w:szCs w:val="20"/>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18,215</w:t>
            </w:r>
          </w:p>
        </w:tc>
        <w:tc>
          <w:tcPr>
            <w:tcW w:w="3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16,343</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7,411</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7,087</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7,438</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6,931</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Property and equipment, net of accumulated depreciation of $50,731 and $49,916</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39,355</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38,470</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Franchise rights</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59,365</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59,364</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36,872</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36,780</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Other intangible assets, net of accumulated amortization of $12,960 and $11,950</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18,848</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18,133</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3,744</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4,354</w:t>
            </w:r>
          </w:p>
        </w:tc>
      </w:tr>
      <w:tr>
        <w:trPr>
          <w:trHeight w:val="27"/>
        </w:trPr>
        <w:tc>
          <w:tcPr>
            <w:tcW w:w="8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111"/>
              <w:spacing w:after="0"/>
              <w:rPr>
                <w:sz w:val="20"/>
                <w:szCs w:val="20"/>
                <w:color w:val="auto"/>
              </w:rPr>
            </w:pPr>
            <w:r>
              <w:rPr>
                <w:rFonts w:ascii="Arial" w:cs="Arial" w:eastAsia="Arial" w:hAnsi="Arial"/>
                <w:sz w:val="18"/>
                <w:szCs w:val="18"/>
                <w:b w:val="1"/>
                <w:bCs w:val="1"/>
                <w:color w:val="auto"/>
              </w:rPr>
              <w:t>191,248</w:t>
            </w:r>
          </w:p>
        </w:tc>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b w:val="1"/>
                <w:bCs w:val="1"/>
                <w:color w:val="auto"/>
              </w:rPr>
              <w:t>187,462</w:t>
            </w:r>
          </w:p>
        </w:tc>
      </w:tr>
      <w:tr>
        <w:trPr>
          <w:trHeight w:val="34"/>
        </w:trPr>
        <w:tc>
          <w:tcPr>
            <w:tcW w:w="8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6,940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6,908</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Accrued participations and residuals</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1,731</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1,644</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1,746</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1,687</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5,956</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6,620</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2,634</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5,134</w:t>
            </w:r>
          </w:p>
        </w:tc>
      </w:tr>
      <w:tr>
        <w:trPr>
          <w:trHeight w:val="27"/>
        </w:trPr>
        <w:tc>
          <w:tcPr>
            <w:tcW w:w="8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20"/>
                <w:szCs w:val="20"/>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19,007</w:t>
            </w:r>
          </w:p>
        </w:tc>
        <w:tc>
          <w:tcPr>
            <w:tcW w:w="3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21,993</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61,946</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59,422</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25,140</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24,259</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12,069</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10,972</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Commitments and contingencies (Note 11)</w:t>
            </w: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1,343</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1,357</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Equity:</w:t>
            </w: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Preferred stock—authorized, 20,000,000 shares; issued, zero</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6"/>
        </w:trPr>
        <w:tc>
          <w:tcPr>
            <w:tcW w:w="8200" w:type="dxa"/>
            <w:vAlign w:val="bottom"/>
          </w:tcPr>
          <w:p>
            <w:pPr>
              <w:ind w:left="380"/>
              <w:spacing w:after="0"/>
              <w:rPr>
                <w:sz w:val="20"/>
                <w:szCs w:val="20"/>
                <w:color w:val="auto"/>
              </w:rPr>
            </w:pPr>
            <w:r>
              <w:rPr>
                <w:rFonts w:ascii="Arial" w:cs="Arial" w:eastAsia="Arial" w:hAnsi="Arial"/>
                <w:sz w:val="18"/>
                <w:szCs w:val="18"/>
                <w:color w:val="auto"/>
                <w:w w:val="94"/>
              </w:rPr>
              <w:t>Class A common stock, $0.01 par value—authorized, 7,500,000,000 shares; issued, 5,445,280,035 and</w:t>
            </w: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30"/>
        </w:trPr>
        <w:tc>
          <w:tcPr>
            <w:tcW w:w="8200" w:type="dxa"/>
            <w:vAlign w:val="bottom"/>
          </w:tcPr>
          <w:p>
            <w:pPr>
              <w:ind w:left="540"/>
              <w:spacing w:after="0"/>
              <w:rPr>
                <w:sz w:val="20"/>
                <w:szCs w:val="20"/>
                <w:color w:val="auto"/>
              </w:rPr>
            </w:pPr>
            <w:r>
              <w:rPr>
                <w:rFonts w:ascii="Arial" w:cs="Arial" w:eastAsia="Arial" w:hAnsi="Arial"/>
                <w:sz w:val="18"/>
                <w:szCs w:val="18"/>
                <w:color w:val="auto"/>
              </w:rPr>
              <w:t>5,507,854,670; outstanding, 4,572,489,007 and 4,635,063,642</w:t>
            </w:r>
          </w:p>
        </w:tc>
        <w:tc>
          <w:tcPr>
            <w:tcW w:w="340" w:type="dxa"/>
            <w:vAlign w:val="bottom"/>
          </w:tcPr>
          <w:p>
            <w:pPr>
              <w:spacing w:after="0"/>
              <w:rPr>
                <w:sz w:val="20"/>
                <w:szCs w:val="20"/>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55</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w w:val="90"/>
              </w:rPr>
              <w:t>Class B common stock, $0.01 par value—authorized, 75,000,000 shares; issued and outstanding, 9,444,375</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37,427</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37,497</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40,269</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38,202</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Treasury stock, 872,791,028 Class A common shares</w:t>
            </w:r>
          </w:p>
        </w:tc>
        <w:tc>
          <w:tcPr>
            <w:tcW w:w="340" w:type="dxa"/>
            <w:vAlign w:val="bottom"/>
          </w:tcPr>
          <w:p>
            <w:pPr>
              <w:spacing w:after="0"/>
              <w:rPr>
                <w:sz w:val="23"/>
                <w:szCs w:val="23"/>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(7,517)</w:t>
            </w:r>
          </w:p>
        </w:tc>
        <w:tc>
          <w:tcPr>
            <w:tcW w:w="3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(7,517)</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461</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379</w:t>
            </w:r>
          </w:p>
        </w:tc>
      </w:tr>
      <w:tr>
        <w:trPr>
          <w:trHeight w:val="27"/>
        </w:trPr>
        <w:tc>
          <w:tcPr>
            <w:tcW w:w="8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Total Comcast Corporation shareholders’ equity</w:t>
            </w:r>
          </w:p>
        </w:tc>
        <w:tc>
          <w:tcPr>
            <w:tcW w:w="340" w:type="dxa"/>
            <w:vAlign w:val="bottom"/>
          </w:tcPr>
          <w:p>
            <w:pPr>
              <w:spacing w:after="0"/>
              <w:rPr>
                <w:sz w:val="20"/>
                <w:szCs w:val="20"/>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70,694</w:t>
            </w:r>
          </w:p>
        </w:tc>
        <w:tc>
          <w:tcPr>
            <w:tcW w:w="3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68,616</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1,049</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843</w:t>
            </w:r>
          </w:p>
        </w:tc>
      </w:tr>
      <w:tr>
        <w:trPr>
          <w:trHeight w:val="27"/>
        </w:trPr>
        <w:tc>
          <w:tcPr>
            <w:tcW w:w="8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340" w:type="dxa"/>
            <w:vAlign w:val="bottom"/>
          </w:tcPr>
          <w:p>
            <w:pPr>
              <w:spacing w:after="0"/>
              <w:rPr>
                <w:sz w:val="20"/>
                <w:szCs w:val="20"/>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71,743</w:t>
            </w:r>
          </w:p>
        </w:tc>
        <w:tc>
          <w:tcPr>
            <w:tcW w:w="3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69,459</w:t>
            </w:r>
          </w:p>
        </w:tc>
      </w:tr>
      <w:tr>
        <w:trPr>
          <w:trHeight w:val="27"/>
        </w:trPr>
        <w:tc>
          <w:tcPr>
            <w:tcW w:w="8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111"/>
              <w:spacing w:after="0"/>
              <w:rPr>
                <w:sz w:val="20"/>
                <w:szCs w:val="20"/>
                <w:color w:val="auto"/>
              </w:rPr>
            </w:pPr>
            <w:r>
              <w:rPr>
                <w:rFonts w:ascii="Arial" w:cs="Arial" w:eastAsia="Arial" w:hAnsi="Arial"/>
                <w:sz w:val="18"/>
                <w:szCs w:val="18"/>
                <w:b w:val="1"/>
                <w:bCs w:val="1"/>
                <w:color w:val="auto"/>
              </w:rPr>
              <w:t>191,248</w:t>
            </w:r>
          </w:p>
        </w:tc>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b w:val="1"/>
                <w:bCs w:val="1"/>
                <w:color w:val="auto"/>
              </w:rPr>
              <w:t>187,462</w:t>
            </w:r>
          </w:p>
        </w:tc>
      </w:tr>
      <w:tr>
        <w:trPr>
          <w:trHeight w:val="34"/>
        </w:trPr>
        <w:tc>
          <w:tcPr>
            <w:tcW w:w="8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1"/>
        </w:trPr>
        <w:tc>
          <w:tcPr>
            <w:tcW w:w="820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Borders>
              <w:right w:val="single" w:sz="8" w:color="auto"/>
            </w:tcBorders>
          </w:tcPr>
          <w:p>
            <w:pPr>
              <w:jc w:val="center"/>
              <w:ind w:right="97"/>
              <w:spacing w:after="0"/>
              <w:rPr>
                <w:sz w:val="20"/>
                <w:szCs w:val="20"/>
                <w:color w:val="auto"/>
              </w:rPr>
            </w:pPr>
            <w:r>
              <w:rPr>
                <w:rFonts w:ascii="Arial" w:cs="Arial" w:eastAsia="Arial" w:hAnsi="Arial"/>
                <w:sz w:val="14"/>
                <w:szCs w:val="14"/>
                <w:color w:val="auto"/>
                <w:w w:val="90"/>
              </w:rPr>
              <w:t>Redeemable</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Borders>
              <w:right w:val="single" w:sz="8" w:color="auto"/>
            </w:tcBorders>
          </w:tcPr>
          <w:p>
            <w:pPr>
              <w:jc w:val="center"/>
              <w:ind w:right="97"/>
              <w:spacing w:after="0" w:line="149" w:lineRule="exact"/>
              <w:rPr>
                <w:sz w:val="20"/>
                <w:szCs w:val="20"/>
                <w:color w:val="auto"/>
              </w:rPr>
            </w:pPr>
            <w:r>
              <w:rPr>
                <w:rFonts w:ascii="Arial" w:cs="Arial" w:eastAsia="Arial" w:hAnsi="Arial"/>
                <w:sz w:val="14"/>
                <w:szCs w:val="14"/>
                <w:color w:val="auto"/>
                <w:w w:val="98"/>
              </w:rPr>
              <w:t>Noncontrolling</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Borders>
              <w:right w:val="single" w:sz="8" w:color="auto"/>
            </w:tcBorders>
          </w:tcPr>
          <w:p>
            <w:pPr>
              <w:jc w:val="center"/>
              <w:ind w:right="97"/>
              <w:spacing w:after="0" w:line="149" w:lineRule="exact"/>
              <w:rPr>
                <w:sz w:val="20"/>
                <w:szCs w:val="20"/>
                <w:color w:val="auto"/>
              </w:rPr>
            </w:pPr>
            <w:r>
              <w:rPr>
                <w:rFonts w:ascii="Arial" w:cs="Arial" w:eastAsia="Arial" w:hAnsi="Arial"/>
                <w:sz w:val="14"/>
                <w:szCs w:val="14"/>
                <w:color w:val="auto"/>
                <w:w w:val="88"/>
              </w:rPr>
              <w:t>Interests and</w:t>
            </w:r>
          </w:p>
        </w:tc>
        <w:tc>
          <w:tcPr>
            <w:tcW w:w="120" w:type="dxa"/>
            <w:vAlign w:val="bottom"/>
          </w:tcPr>
          <w:p>
            <w:pPr>
              <w:spacing w:after="0"/>
              <w:rPr>
                <w:sz w:val="12"/>
                <w:szCs w:val="12"/>
                <w:color w:val="auto"/>
              </w:rPr>
            </w:pPr>
          </w:p>
        </w:tc>
        <w:tc>
          <w:tcPr>
            <w:tcW w:w="1000" w:type="dxa"/>
            <w:vAlign w:val="bottom"/>
            <w:gridSpan w:val="3"/>
            <w:vMerge w:val="restart"/>
          </w:tcPr>
          <w:p>
            <w:pPr>
              <w:jc w:val="right"/>
              <w:ind w:right="14"/>
              <w:spacing w:after="0"/>
              <w:rPr>
                <w:sz w:val="20"/>
                <w:szCs w:val="20"/>
                <w:color w:val="auto"/>
              </w:rPr>
            </w:pPr>
            <w:r>
              <w:rPr>
                <w:rFonts w:ascii="Arial" w:cs="Arial" w:eastAsia="Arial" w:hAnsi="Arial"/>
                <w:sz w:val="14"/>
                <w:szCs w:val="14"/>
                <w:color w:val="auto"/>
                <w:w w:val="91"/>
              </w:rPr>
              <w:t>Common Stock</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36"/>
              <w:spacing w:after="0" w:line="149" w:lineRule="exact"/>
              <w:rPr>
                <w:sz w:val="20"/>
                <w:szCs w:val="20"/>
                <w:color w:val="auto"/>
              </w:rPr>
            </w:pPr>
            <w:r>
              <w:rPr>
                <w:rFonts w:ascii="Arial" w:cs="Arial" w:eastAsia="Arial" w:hAnsi="Arial"/>
                <w:sz w:val="14"/>
                <w:szCs w:val="14"/>
                <w:color w:val="auto"/>
                <w:w w:val="93"/>
              </w:rPr>
              <w:t>Accumulated</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Borders>
              <w:right w:val="single" w:sz="8" w:color="auto"/>
            </w:tcBorders>
          </w:tcPr>
          <w:p>
            <w:pPr>
              <w:jc w:val="center"/>
              <w:ind w:right="97"/>
              <w:spacing w:after="0" w:line="121" w:lineRule="exact"/>
              <w:rPr>
                <w:sz w:val="20"/>
                <w:szCs w:val="20"/>
                <w:color w:val="auto"/>
              </w:rPr>
            </w:pPr>
            <w:r>
              <w:rPr>
                <w:rFonts w:ascii="Arial" w:cs="Arial" w:eastAsia="Arial" w:hAnsi="Arial"/>
                <w:sz w:val="13"/>
                <w:szCs w:val="13"/>
                <w:color w:val="auto"/>
                <w:w w:val="97"/>
              </w:rPr>
              <w:t>Redeemable</w:t>
            </w: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ind w:right="54"/>
              <w:spacing w:after="0" w:line="121" w:lineRule="exact"/>
              <w:rPr>
                <w:sz w:val="20"/>
                <w:szCs w:val="20"/>
                <w:color w:val="auto"/>
              </w:rPr>
            </w:pPr>
            <w:r>
              <w:rPr>
                <w:rFonts w:ascii="Arial" w:cs="Arial" w:eastAsia="Arial" w:hAnsi="Arial"/>
                <w:sz w:val="13"/>
                <w:szCs w:val="13"/>
                <w:color w:val="auto"/>
              </w:rPr>
              <w:t>Additional</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center"/>
              <w:ind w:right="38"/>
              <w:spacing w:after="0" w:line="121" w:lineRule="exact"/>
              <w:rPr>
                <w:sz w:val="20"/>
                <w:szCs w:val="20"/>
                <w:color w:val="auto"/>
              </w:rPr>
            </w:pPr>
            <w:r>
              <w:rPr>
                <w:rFonts w:ascii="Arial" w:cs="Arial" w:eastAsia="Arial" w:hAnsi="Arial"/>
                <w:sz w:val="13"/>
                <w:szCs w:val="13"/>
                <w:color w:val="auto"/>
                <w:w w:val="97"/>
              </w:rPr>
              <w:t>Treasury</w:t>
            </w:r>
          </w:p>
        </w:tc>
        <w:tc>
          <w:tcPr>
            <w:tcW w:w="180" w:type="dxa"/>
            <w:vAlign w:val="bottom"/>
          </w:tcPr>
          <w:p>
            <w:pPr>
              <w:spacing w:after="0"/>
              <w:rPr>
                <w:sz w:val="10"/>
                <w:szCs w:val="10"/>
                <w:color w:val="auto"/>
              </w:rPr>
            </w:pPr>
          </w:p>
        </w:tc>
        <w:tc>
          <w:tcPr>
            <w:tcW w:w="1160" w:type="dxa"/>
            <w:vAlign w:val="bottom"/>
          </w:tcPr>
          <w:p>
            <w:pPr>
              <w:jc w:val="center"/>
              <w:ind w:right="36"/>
              <w:spacing w:after="0" w:line="121" w:lineRule="exact"/>
              <w:rPr>
                <w:sz w:val="20"/>
                <w:szCs w:val="20"/>
                <w:color w:val="auto"/>
              </w:rPr>
            </w:pPr>
            <w:r>
              <w:rPr>
                <w:rFonts w:ascii="Arial" w:cs="Arial" w:eastAsia="Arial" w:hAnsi="Arial"/>
                <w:sz w:val="13"/>
                <w:szCs w:val="13"/>
                <w:color w:val="auto"/>
                <w:w w:val="98"/>
              </w:rPr>
              <w:t>Other</w:t>
            </w:r>
          </w:p>
        </w:tc>
        <w:tc>
          <w:tcPr>
            <w:tcW w:w="200" w:type="dxa"/>
            <w:vAlign w:val="bottom"/>
          </w:tcPr>
          <w:p>
            <w:pPr>
              <w:spacing w:after="0"/>
              <w:rPr>
                <w:sz w:val="10"/>
                <w:szCs w:val="10"/>
                <w:color w:val="auto"/>
              </w:rPr>
            </w:pPr>
          </w:p>
        </w:tc>
        <w:tc>
          <w:tcPr>
            <w:tcW w:w="860" w:type="dxa"/>
            <w:vAlign w:val="bottom"/>
          </w:tcPr>
          <w:p>
            <w:pPr>
              <w:jc w:val="center"/>
              <w:ind w:right="74"/>
              <w:spacing w:after="0" w:line="121" w:lineRule="exact"/>
              <w:rPr>
                <w:sz w:val="20"/>
                <w:szCs w:val="20"/>
                <w:color w:val="auto"/>
              </w:rPr>
            </w:pPr>
            <w:r>
              <w:rPr>
                <w:rFonts w:ascii="Arial" w:cs="Arial" w:eastAsia="Arial" w:hAnsi="Arial"/>
                <w:sz w:val="13"/>
                <w:szCs w:val="13"/>
                <w:color w:val="auto"/>
              </w:rPr>
              <w:t>Non-</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3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Borders>
              <w:right w:val="single" w:sz="8" w:color="auto"/>
            </w:tcBorders>
          </w:tcPr>
          <w:p>
            <w:pPr>
              <w:jc w:val="center"/>
              <w:ind w:right="77"/>
              <w:spacing w:after="0" w:line="157" w:lineRule="exact"/>
              <w:rPr>
                <w:sz w:val="20"/>
                <w:szCs w:val="20"/>
                <w:color w:val="auto"/>
              </w:rPr>
            </w:pPr>
            <w:r>
              <w:rPr>
                <w:rFonts w:ascii="Arial" w:cs="Arial" w:eastAsia="Arial" w:hAnsi="Arial"/>
                <w:sz w:val="14"/>
                <w:szCs w:val="14"/>
                <w:color w:val="auto"/>
                <w:w w:val="94"/>
              </w:rPr>
              <w:t>Subsidiary</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134"/>
              <w:spacing w:after="0" w:line="157" w:lineRule="exact"/>
              <w:rPr>
                <w:sz w:val="20"/>
                <w:szCs w:val="20"/>
                <w:color w:val="auto"/>
              </w:rPr>
            </w:pPr>
            <w:r>
              <w:rPr>
                <w:rFonts w:ascii="Arial" w:cs="Arial" w:eastAsia="Arial" w:hAnsi="Arial"/>
                <w:sz w:val="14"/>
                <w:szCs w:val="14"/>
                <w:color w:val="auto"/>
              </w:rPr>
              <w:t>Paid-In</w:t>
            </w:r>
          </w:p>
        </w:tc>
        <w:tc>
          <w:tcPr>
            <w:tcW w:w="160" w:type="dxa"/>
            <w:vAlign w:val="bottom"/>
          </w:tcPr>
          <w:p>
            <w:pPr>
              <w:spacing w:after="0"/>
              <w:rPr>
                <w:sz w:val="13"/>
                <w:szCs w:val="13"/>
                <w:color w:val="auto"/>
              </w:rPr>
            </w:pPr>
          </w:p>
        </w:tc>
        <w:tc>
          <w:tcPr>
            <w:tcW w:w="740" w:type="dxa"/>
            <w:vAlign w:val="bottom"/>
          </w:tcPr>
          <w:p>
            <w:pPr>
              <w:jc w:val="right"/>
              <w:ind w:right="92"/>
              <w:spacing w:after="0" w:line="157" w:lineRule="exact"/>
              <w:rPr>
                <w:sz w:val="20"/>
                <w:szCs w:val="20"/>
                <w:color w:val="auto"/>
              </w:rPr>
            </w:pPr>
            <w:r>
              <w:rPr>
                <w:rFonts w:ascii="Arial" w:cs="Arial" w:eastAsia="Arial" w:hAnsi="Arial"/>
                <w:sz w:val="14"/>
                <w:szCs w:val="14"/>
                <w:color w:val="auto"/>
                <w:w w:val="96"/>
              </w:rPr>
              <w:t>Retained</w:t>
            </w:r>
          </w:p>
        </w:tc>
        <w:tc>
          <w:tcPr>
            <w:tcW w:w="140" w:type="dxa"/>
            <w:vAlign w:val="bottom"/>
          </w:tcPr>
          <w:p>
            <w:pPr>
              <w:spacing w:after="0"/>
              <w:rPr>
                <w:sz w:val="13"/>
                <w:szCs w:val="13"/>
                <w:color w:val="auto"/>
              </w:rPr>
            </w:pPr>
          </w:p>
        </w:tc>
        <w:tc>
          <w:tcPr>
            <w:tcW w:w="660" w:type="dxa"/>
            <w:vAlign w:val="bottom"/>
          </w:tcPr>
          <w:p>
            <w:pPr>
              <w:jc w:val="center"/>
              <w:ind w:right="38"/>
              <w:spacing w:after="0" w:line="157" w:lineRule="exact"/>
              <w:rPr>
                <w:sz w:val="20"/>
                <w:szCs w:val="20"/>
                <w:color w:val="auto"/>
              </w:rPr>
            </w:pPr>
            <w:r>
              <w:rPr>
                <w:rFonts w:ascii="Arial" w:cs="Arial" w:eastAsia="Arial" w:hAnsi="Arial"/>
                <w:sz w:val="14"/>
                <w:szCs w:val="14"/>
                <w:color w:val="auto"/>
                <w:w w:val="90"/>
              </w:rPr>
              <w:t>Stock at</w:t>
            </w:r>
          </w:p>
        </w:tc>
        <w:tc>
          <w:tcPr>
            <w:tcW w:w="180" w:type="dxa"/>
            <w:vAlign w:val="bottom"/>
          </w:tcPr>
          <w:p>
            <w:pPr>
              <w:spacing w:after="0"/>
              <w:rPr>
                <w:sz w:val="13"/>
                <w:szCs w:val="13"/>
                <w:color w:val="auto"/>
              </w:rPr>
            </w:pPr>
          </w:p>
        </w:tc>
        <w:tc>
          <w:tcPr>
            <w:tcW w:w="1160" w:type="dxa"/>
            <w:vAlign w:val="bottom"/>
          </w:tcPr>
          <w:p>
            <w:pPr>
              <w:jc w:val="center"/>
              <w:ind w:right="56"/>
              <w:spacing w:after="0" w:line="157" w:lineRule="exact"/>
              <w:rPr>
                <w:sz w:val="20"/>
                <w:szCs w:val="20"/>
                <w:color w:val="auto"/>
              </w:rPr>
            </w:pPr>
            <w:r>
              <w:rPr>
                <w:rFonts w:ascii="Arial" w:cs="Arial" w:eastAsia="Arial" w:hAnsi="Arial"/>
                <w:sz w:val="14"/>
                <w:szCs w:val="14"/>
                <w:color w:val="auto"/>
                <w:w w:val="91"/>
              </w:rPr>
              <w:t>Comprehensive</w:t>
            </w:r>
          </w:p>
        </w:tc>
        <w:tc>
          <w:tcPr>
            <w:tcW w:w="200" w:type="dxa"/>
            <w:vAlign w:val="bottom"/>
          </w:tcPr>
          <w:p>
            <w:pPr>
              <w:spacing w:after="0"/>
              <w:rPr>
                <w:sz w:val="13"/>
                <w:szCs w:val="13"/>
                <w:color w:val="auto"/>
              </w:rPr>
            </w:pPr>
          </w:p>
        </w:tc>
        <w:tc>
          <w:tcPr>
            <w:tcW w:w="860" w:type="dxa"/>
            <w:vAlign w:val="bottom"/>
          </w:tcPr>
          <w:p>
            <w:pPr>
              <w:jc w:val="center"/>
              <w:ind w:right="74"/>
              <w:spacing w:after="0" w:line="157" w:lineRule="exact"/>
              <w:rPr>
                <w:sz w:val="20"/>
                <w:szCs w:val="20"/>
                <w:color w:val="auto"/>
              </w:rPr>
            </w:pPr>
            <w:r>
              <w:rPr>
                <w:rFonts w:ascii="Arial" w:cs="Arial" w:eastAsia="Arial" w:hAnsi="Arial"/>
                <w:sz w:val="14"/>
                <w:szCs w:val="14"/>
                <w:color w:val="auto"/>
                <w:w w:val="97"/>
              </w:rPr>
              <w:t>controlling</w:t>
            </w:r>
          </w:p>
        </w:tc>
        <w:tc>
          <w:tcPr>
            <w:tcW w:w="800" w:type="dxa"/>
            <w:vAlign w:val="bottom"/>
          </w:tcPr>
          <w:p>
            <w:pPr>
              <w:jc w:val="right"/>
              <w:ind w:right="171"/>
              <w:spacing w:after="0" w:line="157"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8"/>
        </w:trPr>
        <w:tc>
          <w:tcPr>
            <w:tcW w:w="3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jc w:val="center"/>
              <w:ind w:right="77"/>
              <w:spacing w:after="0"/>
              <w:rPr>
                <w:sz w:val="20"/>
                <w:szCs w:val="20"/>
                <w:color w:val="auto"/>
              </w:rPr>
            </w:pPr>
            <w:r>
              <w:rPr>
                <w:rFonts w:ascii="Arial" w:cs="Arial" w:eastAsia="Arial" w:hAnsi="Arial"/>
                <w:sz w:val="14"/>
                <w:szCs w:val="14"/>
                <w:color w:val="auto"/>
                <w:w w:val="92"/>
              </w:rPr>
              <w:t>Preferred Stock</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A</w:t>
            </w:r>
          </w:p>
        </w:tc>
        <w:tc>
          <w:tcPr>
            <w:tcW w:w="2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B</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rPr>
              <w:t>Capital</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w w:val="97"/>
              </w:rPr>
              <w:t>Earnings</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color w:val="auto"/>
                <w:w w:val="90"/>
              </w:rPr>
              <w:t>Cost</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color w:val="auto"/>
                <w:w w:val="94"/>
              </w:rPr>
              <w:t>Income (Loss)</w:t>
            </w: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color w:val="auto"/>
                <w:w w:val="93"/>
              </w:rPr>
              <w:t>Interests</w:t>
            </w:r>
          </w:p>
        </w:tc>
        <w:tc>
          <w:tcPr>
            <w:tcW w:w="8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Balance, December 31, 2016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1,446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38,230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23,065</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(7,517)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2,231</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w w:val="96"/>
              </w:rPr>
              <w:t>$ 56,163</w:t>
            </w:r>
          </w:p>
        </w:tc>
        <w:tc>
          <w:tcPr>
            <w:tcW w:w="0" w:type="dxa"/>
            <w:vAlign w:val="bottom"/>
          </w:tcPr>
          <w:p>
            <w:pPr>
              <w:spacing w:after="0"/>
              <w:rPr>
                <w:sz w:val="1"/>
                <w:szCs w:val="1"/>
                <w:color w:val="auto"/>
              </w:rPr>
            </w:pPr>
          </w:p>
        </w:tc>
      </w:tr>
      <w:tr>
        <w:trPr>
          <w:trHeight w:val="270"/>
        </w:trPr>
        <w:tc>
          <w:tcPr>
            <w:tcW w:w="3180" w:type="dxa"/>
            <w:vAlign w:val="bottom"/>
          </w:tcPr>
          <w:p>
            <w:pPr>
              <w:ind w:left="40"/>
              <w:spacing w:after="0"/>
              <w:rPr>
                <w:sz w:val="20"/>
                <w:szCs w:val="20"/>
                <w:color w:val="auto"/>
              </w:rPr>
            </w:pPr>
            <w:r>
              <w:rPr>
                <w:rFonts w:ascii="Arial" w:cs="Arial" w:eastAsia="Arial" w:hAnsi="Arial"/>
                <w:sz w:val="18"/>
                <w:szCs w:val="18"/>
                <w:color w:val="auto"/>
              </w:rPr>
              <w:t>Stock compensation plans</w:t>
            </w:r>
          </w:p>
        </w:tc>
        <w:tc>
          <w:tcPr>
            <w:tcW w:w="180" w:type="dxa"/>
            <w:vAlign w:val="bottom"/>
          </w:tcPr>
          <w:p>
            <w:pPr>
              <w:spacing w:after="0"/>
              <w:rPr>
                <w:sz w:val="23"/>
                <w:szCs w:val="23"/>
                <w:color w:val="auto"/>
              </w:rPr>
            </w:pPr>
          </w:p>
        </w:tc>
        <w:tc>
          <w:tcPr>
            <w:tcW w:w="114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288</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56"/>
        </w:trPr>
        <w:tc>
          <w:tcPr>
            <w:tcW w:w="3180" w:type="dxa"/>
            <w:vAlign w:val="bottom"/>
          </w:tcPr>
          <w:p>
            <w:pPr>
              <w:ind w:left="40"/>
              <w:spacing w:after="0"/>
              <w:rPr>
                <w:sz w:val="20"/>
                <w:szCs w:val="20"/>
                <w:color w:val="auto"/>
              </w:rPr>
            </w:pPr>
            <w:r>
              <w:rPr>
                <w:rFonts w:ascii="Arial" w:cs="Arial" w:eastAsia="Arial" w:hAnsi="Arial"/>
                <w:sz w:val="18"/>
                <w:szCs w:val="18"/>
                <w:color w:val="auto"/>
              </w:rPr>
              <w:t>Repurchases of common stock under</w:t>
            </w:r>
          </w:p>
        </w:tc>
        <w:tc>
          <w:tcPr>
            <w:tcW w:w="180" w:type="dxa"/>
            <w:vAlign w:val="bottom"/>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w w:val="90"/>
              </w:rPr>
              <w:t>repurchase program and employee plans</w:t>
            </w:r>
          </w:p>
        </w:tc>
        <w:tc>
          <w:tcPr>
            <w:tcW w:w="18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(379)</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(2,097)</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(2,476)</w:t>
            </w:r>
          </w:p>
        </w:tc>
        <w:tc>
          <w:tcPr>
            <w:tcW w:w="0" w:type="dxa"/>
            <w:vAlign w:val="bottom"/>
          </w:tcPr>
          <w:p>
            <w:pPr>
              <w:spacing w:after="0"/>
              <w:rPr>
                <w:sz w:val="1"/>
                <w:szCs w:val="1"/>
                <w:color w:val="auto"/>
              </w:rPr>
            </w:pPr>
          </w:p>
        </w:tc>
      </w:tr>
      <w:tr>
        <w:trPr>
          <w:trHeight w:val="270"/>
        </w:trPr>
        <w:tc>
          <w:tcPr>
            <w:tcW w:w="3180" w:type="dxa"/>
            <w:vAlign w:val="bottom"/>
          </w:tcPr>
          <w:p>
            <w:pPr>
              <w:ind w:left="40"/>
              <w:spacing w:after="0"/>
              <w:rPr>
                <w:sz w:val="20"/>
                <w:szCs w:val="20"/>
                <w:color w:val="auto"/>
              </w:rPr>
            </w:pPr>
            <w:r>
              <w:rPr>
                <w:rFonts w:ascii="Arial" w:cs="Arial" w:eastAsia="Arial" w:hAnsi="Arial"/>
                <w:sz w:val="18"/>
                <w:szCs w:val="18"/>
                <w:color w:val="auto"/>
              </w:rPr>
              <w:t>Employee stock purchase plans</w:t>
            </w:r>
          </w:p>
        </w:tc>
        <w:tc>
          <w:tcPr>
            <w:tcW w:w="180" w:type="dxa"/>
            <w:vAlign w:val="bottom"/>
          </w:tcPr>
          <w:p>
            <w:pPr>
              <w:spacing w:after="0"/>
              <w:rPr>
                <w:sz w:val="23"/>
                <w:szCs w:val="23"/>
                <w:color w:val="auto"/>
              </w:rPr>
            </w:pPr>
          </w:p>
        </w:tc>
        <w:tc>
          <w:tcPr>
            <w:tcW w:w="114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0"/>
        </w:trPr>
        <w:tc>
          <w:tcPr>
            <w:tcW w:w="3180" w:type="dxa"/>
            <w:vAlign w:val="bottom"/>
          </w:tcPr>
          <w:p>
            <w:pPr>
              <w:ind w:left="40"/>
              <w:spacing w:after="0"/>
              <w:rPr>
                <w:sz w:val="20"/>
                <w:szCs w:val="20"/>
                <w:color w:val="auto"/>
              </w:rPr>
            </w:pPr>
            <w:r>
              <w:rPr>
                <w:rFonts w:ascii="Arial" w:cs="Arial" w:eastAsia="Arial" w:hAnsi="Arial"/>
                <w:sz w:val="18"/>
                <w:szCs w:val="18"/>
                <w:color w:val="auto"/>
              </w:rPr>
              <w:t>Dividends declared</w:t>
            </w:r>
          </w:p>
        </w:tc>
        <w:tc>
          <w:tcPr>
            <w:tcW w:w="180" w:type="dxa"/>
            <w:vAlign w:val="bottom"/>
          </w:tcPr>
          <w:p>
            <w:pPr>
              <w:spacing w:after="0"/>
              <w:rPr>
                <w:sz w:val="23"/>
                <w:szCs w:val="23"/>
                <w:color w:val="auto"/>
              </w:rPr>
            </w:pPr>
          </w:p>
        </w:tc>
        <w:tc>
          <w:tcPr>
            <w:tcW w:w="114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(1,498)</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70"/>
        </w:trPr>
        <w:tc>
          <w:tcPr>
            <w:tcW w:w="31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Pr>
          <w:p>
            <w:pPr>
              <w:spacing w:after="0"/>
              <w:rPr>
                <w:sz w:val="23"/>
                <w:szCs w:val="23"/>
                <w:color w:val="auto"/>
              </w:rPr>
            </w:pPr>
          </w:p>
        </w:tc>
        <w:tc>
          <w:tcPr>
            <w:tcW w:w="114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82</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56"/>
        </w:trPr>
        <w:tc>
          <w:tcPr>
            <w:tcW w:w="3180" w:type="dxa"/>
            <w:vAlign w:val="bottom"/>
          </w:tcPr>
          <w:p>
            <w:pPr>
              <w:ind w:left="40"/>
              <w:spacing w:after="0"/>
              <w:rPr>
                <w:sz w:val="20"/>
                <w:szCs w:val="20"/>
                <w:color w:val="auto"/>
              </w:rPr>
            </w:pPr>
            <w:r>
              <w:rPr>
                <w:rFonts w:ascii="Arial" w:cs="Arial" w:eastAsia="Arial" w:hAnsi="Arial"/>
                <w:sz w:val="18"/>
                <w:szCs w:val="18"/>
                <w:color w:val="auto"/>
              </w:rPr>
              <w:t>Contributions from (distributions to)</w:t>
            </w:r>
          </w:p>
        </w:tc>
        <w:tc>
          <w:tcPr>
            <w:tcW w:w="180" w:type="dxa"/>
            <w:vAlign w:val="bottom"/>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noncontrolling interests, net</w:t>
            </w:r>
          </w:p>
        </w:tc>
        <w:tc>
          <w:tcPr>
            <w:tcW w:w="180" w:type="dxa"/>
            <w:vAlign w:val="bottom"/>
          </w:tcPr>
          <w:p>
            <w:pPr>
              <w:spacing w:after="0"/>
              <w:rPr>
                <w:sz w:val="20"/>
                <w:szCs w:val="20"/>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w:t>
            </w:r>
          </w:p>
        </w:tc>
        <w:tc>
          <w:tcPr>
            <w:tcW w:w="8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56"/>
        </w:trPr>
        <w:tc>
          <w:tcPr>
            <w:tcW w:w="3180" w:type="dxa"/>
            <w:vAlign w:val="bottom"/>
          </w:tcPr>
          <w:p>
            <w:pPr>
              <w:ind w:left="40"/>
              <w:spacing w:after="0"/>
              <w:rPr>
                <w:sz w:val="20"/>
                <w:szCs w:val="20"/>
                <w:color w:val="auto"/>
              </w:rPr>
            </w:pPr>
            <w:r>
              <w:rPr>
                <w:rFonts w:ascii="Arial" w:cs="Arial" w:eastAsia="Arial" w:hAnsi="Arial"/>
                <w:sz w:val="18"/>
                <w:szCs w:val="18"/>
                <w:color w:val="auto"/>
              </w:rPr>
              <w:t>Purchase of Universal Studios Japan</w:t>
            </w:r>
          </w:p>
        </w:tc>
        <w:tc>
          <w:tcPr>
            <w:tcW w:w="180" w:type="dxa"/>
            <w:vAlign w:val="bottom"/>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18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(696)</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194</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(1,736)</w:t>
            </w:r>
          </w:p>
        </w:tc>
        <w:tc>
          <w:tcPr>
            <w:tcW w:w="800" w:type="dxa"/>
            <w:vAlign w:val="bottom"/>
          </w:tcPr>
          <w:p>
            <w:pPr>
              <w:jc w:val="right"/>
              <w:spacing w:after="0"/>
              <w:rPr>
                <w:sz w:val="20"/>
                <w:szCs w:val="20"/>
                <w:color w:val="auto"/>
              </w:rPr>
            </w:pPr>
            <w:r>
              <w:rPr>
                <w:rFonts w:ascii="Arial" w:cs="Arial" w:eastAsia="Arial" w:hAnsi="Arial"/>
                <w:sz w:val="18"/>
                <w:szCs w:val="18"/>
                <w:color w:val="auto"/>
              </w:rPr>
              <w:t>(2,238)</w:t>
            </w:r>
          </w:p>
        </w:tc>
        <w:tc>
          <w:tcPr>
            <w:tcW w:w="0" w:type="dxa"/>
            <w:vAlign w:val="bottom"/>
          </w:tcPr>
          <w:p>
            <w:pPr>
              <w:spacing w:after="0"/>
              <w:rPr>
                <w:sz w:val="1"/>
                <w:szCs w:val="1"/>
                <w:color w:val="auto"/>
              </w:rPr>
            </w:pPr>
          </w:p>
        </w:tc>
      </w:tr>
      <w:tr>
        <w:trPr>
          <w:trHeight w:val="270"/>
        </w:trPr>
        <w:tc>
          <w:tcPr>
            <w:tcW w:w="3180" w:type="dxa"/>
            <w:vAlign w:val="bottom"/>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3"/>
                <w:szCs w:val="23"/>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253</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0"/>
        </w:trPr>
        <w:tc>
          <w:tcPr>
            <w:tcW w:w="31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3"/>
                <w:szCs w:val="23"/>
                <w:color w:val="auto"/>
              </w:rPr>
            </w:pPr>
          </w:p>
        </w:tc>
        <w:tc>
          <w:tcPr>
            <w:tcW w:w="114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5,094</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62</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5,156</w:t>
            </w:r>
          </w:p>
        </w:tc>
        <w:tc>
          <w:tcPr>
            <w:tcW w:w="0" w:type="dxa"/>
            <w:vAlign w:val="bottom"/>
          </w:tcPr>
          <w:p>
            <w:pPr>
              <w:spacing w:after="0"/>
              <w:rPr>
                <w:sz w:val="1"/>
                <w:szCs w:val="1"/>
                <w:color w:val="auto"/>
              </w:rPr>
            </w:pPr>
          </w:p>
        </w:tc>
      </w:tr>
      <w:tr>
        <w:trPr>
          <w:trHeight w:val="27"/>
        </w:trPr>
        <w:tc>
          <w:tcPr>
            <w:tcW w:w="3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Balance, June 30, 2017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1,451</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ind w:right="14"/>
              <w:spacing w:after="0"/>
              <w:rPr>
                <w:sz w:val="20"/>
                <w:szCs w:val="20"/>
                <w:color w:val="auto"/>
              </w:rPr>
            </w:pPr>
            <w:r>
              <w:rPr>
                <w:rFonts w:ascii="Arial" w:cs="Arial" w:eastAsia="Arial" w:hAnsi="Arial"/>
                <w:sz w:val="18"/>
                <w:szCs w:val="18"/>
                <w:b w:val="1"/>
                <w:bCs w:val="1"/>
                <w:color w:val="auto"/>
              </w:rPr>
              <w:t>37,478</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b w:val="1"/>
                <w:bCs w:val="1"/>
                <w:color w:val="auto"/>
              </w:rPr>
              <w:t>24,563</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(7,517)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428</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b w:val="1"/>
                <w:bCs w:val="1"/>
                <w:color w:val="auto"/>
              </w:rPr>
              <w:t>843</w:t>
            </w: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w w:val="96"/>
              </w:rPr>
              <w:t>$ 55,851</w:t>
            </w:r>
          </w:p>
        </w:tc>
        <w:tc>
          <w:tcPr>
            <w:tcW w:w="0" w:type="dxa"/>
            <w:vAlign w:val="bottom"/>
          </w:tcPr>
          <w:p>
            <w:pPr>
              <w:spacing w:after="0"/>
              <w:rPr>
                <w:sz w:val="1"/>
                <w:szCs w:val="1"/>
                <w:color w:val="auto"/>
              </w:rPr>
            </w:pPr>
          </w:p>
        </w:tc>
      </w:tr>
      <w:tr>
        <w:trPr>
          <w:trHeight w:val="34"/>
        </w:trPr>
        <w:tc>
          <w:tcPr>
            <w:tcW w:w="3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Balance, December 31, 2017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1,357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37,497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38,202</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(7,517)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843</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w w:val="96"/>
              </w:rPr>
              <w:t>$ 69,459</w:t>
            </w:r>
          </w:p>
        </w:tc>
        <w:tc>
          <w:tcPr>
            <w:tcW w:w="0" w:type="dxa"/>
            <w:vAlign w:val="bottom"/>
          </w:tcPr>
          <w:p>
            <w:pPr>
              <w:spacing w:after="0"/>
              <w:rPr>
                <w:sz w:val="1"/>
                <w:szCs w:val="1"/>
                <w:color w:val="auto"/>
              </w:rPr>
            </w:pPr>
          </w:p>
        </w:tc>
      </w:tr>
      <w:tr>
        <w:trPr>
          <w:trHeight w:val="256"/>
        </w:trPr>
        <w:tc>
          <w:tcPr>
            <w:tcW w:w="3180" w:type="dxa"/>
            <w:vAlign w:val="bottom"/>
          </w:tcPr>
          <w:p>
            <w:pPr>
              <w:ind w:left="40"/>
              <w:spacing w:after="0"/>
              <w:rPr>
                <w:sz w:val="20"/>
                <w:szCs w:val="20"/>
                <w:color w:val="auto"/>
              </w:rPr>
            </w:pPr>
            <w:r>
              <w:rPr>
                <w:rFonts w:ascii="Arial" w:cs="Arial" w:eastAsia="Arial" w:hAnsi="Arial"/>
                <w:sz w:val="18"/>
                <w:szCs w:val="18"/>
                <w:color w:val="auto"/>
              </w:rPr>
              <w:t>Cumulative effects of adoption of</w:t>
            </w:r>
          </w:p>
        </w:tc>
        <w:tc>
          <w:tcPr>
            <w:tcW w:w="180" w:type="dxa"/>
            <w:vAlign w:val="bottom"/>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accounting standards</w:t>
            </w:r>
          </w:p>
        </w:tc>
        <w:tc>
          <w:tcPr>
            <w:tcW w:w="18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0"/>
        </w:trPr>
        <w:tc>
          <w:tcPr>
            <w:tcW w:w="3180" w:type="dxa"/>
            <w:vAlign w:val="bottom"/>
          </w:tcPr>
          <w:p>
            <w:pPr>
              <w:ind w:left="40"/>
              <w:spacing w:after="0"/>
              <w:rPr>
                <w:sz w:val="20"/>
                <w:szCs w:val="20"/>
                <w:color w:val="auto"/>
              </w:rPr>
            </w:pPr>
            <w:r>
              <w:rPr>
                <w:rFonts w:ascii="Arial" w:cs="Arial" w:eastAsia="Arial" w:hAnsi="Arial"/>
                <w:sz w:val="18"/>
                <w:szCs w:val="18"/>
                <w:color w:val="auto"/>
              </w:rPr>
              <w:t>Stock compensation plans</w:t>
            </w:r>
          </w:p>
        </w:tc>
        <w:tc>
          <w:tcPr>
            <w:tcW w:w="180" w:type="dxa"/>
            <w:vAlign w:val="bottom"/>
          </w:tcPr>
          <w:p>
            <w:pPr>
              <w:spacing w:after="0"/>
              <w:rPr>
                <w:sz w:val="23"/>
                <w:szCs w:val="23"/>
                <w:color w:val="auto"/>
              </w:rPr>
            </w:pPr>
          </w:p>
        </w:tc>
        <w:tc>
          <w:tcPr>
            <w:tcW w:w="114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290</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56"/>
        </w:trPr>
        <w:tc>
          <w:tcPr>
            <w:tcW w:w="3180" w:type="dxa"/>
            <w:vAlign w:val="bottom"/>
          </w:tcPr>
          <w:p>
            <w:pPr>
              <w:ind w:left="40"/>
              <w:spacing w:after="0"/>
              <w:rPr>
                <w:sz w:val="20"/>
                <w:szCs w:val="20"/>
                <w:color w:val="auto"/>
              </w:rPr>
            </w:pPr>
            <w:r>
              <w:rPr>
                <w:rFonts w:ascii="Arial" w:cs="Arial" w:eastAsia="Arial" w:hAnsi="Arial"/>
                <w:sz w:val="18"/>
                <w:szCs w:val="18"/>
                <w:color w:val="auto"/>
              </w:rPr>
              <w:t>Repurchases of common stock under</w:t>
            </w:r>
          </w:p>
        </w:tc>
        <w:tc>
          <w:tcPr>
            <w:tcW w:w="180" w:type="dxa"/>
            <w:vAlign w:val="bottom"/>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w w:val="90"/>
              </w:rPr>
              <w:t>repurchase program and employee plans</w:t>
            </w:r>
          </w:p>
        </w:tc>
        <w:tc>
          <w:tcPr>
            <w:tcW w:w="18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(529)</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(2,466)</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(2,996)</w:t>
            </w:r>
          </w:p>
        </w:tc>
        <w:tc>
          <w:tcPr>
            <w:tcW w:w="0" w:type="dxa"/>
            <w:vAlign w:val="bottom"/>
          </w:tcPr>
          <w:p>
            <w:pPr>
              <w:spacing w:after="0"/>
              <w:rPr>
                <w:sz w:val="1"/>
                <w:szCs w:val="1"/>
                <w:color w:val="auto"/>
              </w:rPr>
            </w:pPr>
          </w:p>
        </w:tc>
      </w:tr>
      <w:tr>
        <w:trPr>
          <w:trHeight w:val="270"/>
        </w:trPr>
        <w:tc>
          <w:tcPr>
            <w:tcW w:w="3180" w:type="dxa"/>
            <w:vAlign w:val="bottom"/>
          </w:tcPr>
          <w:p>
            <w:pPr>
              <w:ind w:left="40"/>
              <w:spacing w:after="0"/>
              <w:rPr>
                <w:sz w:val="20"/>
                <w:szCs w:val="20"/>
                <w:color w:val="auto"/>
              </w:rPr>
            </w:pPr>
            <w:r>
              <w:rPr>
                <w:rFonts w:ascii="Arial" w:cs="Arial" w:eastAsia="Arial" w:hAnsi="Arial"/>
                <w:sz w:val="18"/>
                <w:szCs w:val="18"/>
                <w:color w:val="auto"/>
              </w:rPr>
              <w:t>Employee stock purchase plans</w:t>
            </w:r>
          </w:p>
        </w:tc>
        <w:tc>
          <w:tcPr>
            <w:tcW w:w="180" w:type="dxa"/>
            <w:vAlign w:val="bottom"/>
          </w:tcPr>
          <w:p>
            <w:pPr>
              <w:spacing w:after="0"/>
              <w:rPr>
                <w:sz w:val="23"/>
                <w:szCs w:val="23"/>
                <w:color w:val="auto"/>
              </w:rPr>
            </w:pPr>
          </w:p>
        </w:tc>
        <w:tc>
          <w:tcPr>
            <w:tcW w:w="114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0"/>
        </w:trPr>
        <w:tc>
          <w:tcPr>
            <w:tcW w:w="3180" w:type="dxa"/>
            <w:vAlign w:val="bottom"/>
          </w:tcPr>
          <w:p>
            <w:pPr>
              <w:ind w:left="40"/>
              <w:spacing w:after="0"/>
              <w:rPr>
                <w:sz w:val="20"/>
                <w:szCs w:val="20"/>
                <w:color w:val="auto"/>
              </w:rPr>
            </w:pPr>
            <w:r>
              <w:rPr>
                <w:rFonts w:ascii="Arial" w:cs="Arial" w:eastAsia="Arial" w:hAnsi="Arial"/>
                <w:sz w:val="18"/>
                <w:szCs w:val="18"/>
                <w:color w:val="auto"/>
              </w:rPr>
              <w:t>Dividends declared</w:t>
            </w:r>
          </w:p>
        </w:tc>
        <w:tc>
          <w:tcPr>
            <w:tcW w:w="180" w:type="dxa"/>
            <w:vAlign w:val="bottom"/>
          </w:tcPr>
          <w:p>
            <w:pPr>
              <w:spacing w:after="0"/>
              <w:rPr>
                <w:sz w:val="23"/>
                <w:szCs w:val="23"/>
                <w:color w:val="auto"/>
              </w:rPr>
            </w:pPr>
          </w:p>
        </w:tc>
        <w:tc>
          <w:tcPr>
            <w:tcW w:w="114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(1,760)</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70"/>
        </w:trPr>
        <w:tc>
          <w:tcPr>
            <w:tcW w:w="31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Pr>
          <w:p>
            <w:pPr>
              <w:spacing w:after="0"/>
              <w:rPr>
                <w:sz w:val="23"/>
                <w:szCs w:val="23"/>
                <w:color w:val="auto"/>
              </w:rPr>
            </w:pPr>
          </w:p>
        </w:tc>
        <w:tc>
          <w:tcPr>
            <w:tcW w:w="114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6"/>
        </w:trPr>
        <w:tc>
          <w:tcPr>
            <w:tcW w:w="3180" w:type="dxa"/>
            <w:vAlign w:val="bottom"/>
          </w:tcPr>
          <w:p>
            <w:pPr>
              <w:ind w:left="40"/>
              <w:spacing w:after="0"/>
              <w:rPr>
                <w:sz w:val="20"/>
                <w:szCs w:val="20"/>
                <w:color w:val="auto"/>
              </w:rPr>
            </w:pPr>
            <w:r>
              <w:rPr>
                <w:rFonts w:ascii="Arial" w:cs="Arial" w:eastAsia="Arial" w:hAnsi="Arial"/>
                <w:sz w:val="18"/>
                <w:szCs w:val="18"/>
                <w:color w:val="auto"/>
              </w:rPr>
              <w:t>Contributions from (distributions to)</w:t>
            </w:r>
          </w:p>
        </w:tc>
        <w:tc>
          <w:tcPr>
            <w:tcW w:w="180" w:type="dxa"/>
            <w:vAlign w:val="bottom"/>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noncontrolling interests, net</w:t>
            </w:r>
          </w:p>
        </w:tc>
        <w:tc>
          <w:tcPr>
            <w:tcW w:w="180" w:type="dxa"/>
            <w:vAlign w:val="bottom"/>
          </w:tcPr>
          <w:p>
            <w:pPr>
              <w:spacing w:after="0"/>
              <w:rPr>
                <w:sz w:val="20"/>
                <w:szCs w:val="20"/>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317</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70"/>
        </w:trPr>
        <w:tc>
          <w:tcPr>
            <w:tcW w:w="3180" w:type="dxa"/>
            <w:vAlign w:val="bottom"/>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3"/>
                <w:szCs w:val="23"/>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w:t>
            </w:r>
          </w:p>
        </w:tc>
        <w:tc>
          <w:tcPr>
            <w:tcW w:w="8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0"/>
        </w:trPr>
        <w:tc>
          <w:tcPr>
            <w:tcW w:w="31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3"/>
                <w:szCs w:val="23"/>
                <w:color w:val="auto"/>
              </w:rPr>
            </w:pPr>
          </w:p>
        </w:tc>
        <w:tc>
          <w:tcPr>
            <w:tcW w:w="114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6,334</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9</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6,343</w:t>
            </w:r>
          </w:p>
        </w:tc>
        <w:tc>
          <w:tcPr>
            <w:tcW w:w="0" w:type="dxa"/>
            <w:vAlign w:val="bottom"/>
          </w:tcPr>
          <w:p>
            <w:pPr>
              <w:spacing w:after="0"/>
              <w:rPr>
                <w:sz w:val="1"/>
                <w:szCs w:val="1"/>
                <w:color w:val="auto"/>
              </w:rPr>
            </w:pPr>
          </w:p>
        </w:tc>
      </w:tr>
      <w:tr>
        <w:trPr>
          <w:trHeight w:val="27"/>
        </w:trPr>
        <w:tc>
          <w:tcPr>
            <w:tcW w:w="3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Balance, June 30, 2018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1,343</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ind w:right="14"/>
              <w:spacing w:after="0"/>
              <w:rPr>
                <w:sz w:val="20"/>
                <w:szCs w:val="20"/>
                <w:color w:val="auto"/>
              </w:rPr>
            </w:pPr>
            <w:r>
              <w:rPr>
                <w:rFonts w:ascii="Arial" w:cs="Arial" w:eastAsia="Arial" w:hAnsi="Arial"/>
                <w:sz w:val="18"/>
                <w:szCs w:val="18"/>
                <w:b w:val="1"/>
                <w:bCs w:val="1"/>
                <w:color w:val="auto"/>
              </w:rPr>
              <w:t>37,427</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b w:val="1"/>
                <w:bCs w:val="1"/>
                <w:color w:val="auto"/>
              </w:rPr>
              <w:t>40,269</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(7,517)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461</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b w:val="1"/>
                <w:bCs w:val="1"/>
                <w:color w:val="auto"/>
              </w:rPr>
              <w:t>1,049</w:t>
            </w: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w w:val="96"/>
              </w:rPr>
              <w:t>$ 71,743</w:t>
            </w:r>
          </w:p>
        </w:tc>
        <w:tc>
          <w:tcPr>
            <w:tcW w:w="0" w:type="dxa"/>
            <w:vAlign w:val="bottom"/>
          </w:tcPr>
          <w:p>
            <w:pPr>
              <w:spacing w:after="0"/>
              <w:rPr>
                <w:sz w:val="1"/>
                <w:szCs w:val="1"/>
                <w:color w:val="auto"/>
              </w:rPr>
            </w:pPr>
          </w:p>
        </w:tc>
      </w:tr>
      <w:tr>
        <w:trPr>
          <w:trHeight w:val="34"/>
        </w:trPr>
        <w:tc>
          <w:tcPr>
            <w:tcW w:w="4500" w:type="dxa"/>
            <w:vAlign w:val="bottom"/>
            <w:tcBorders>
              <w:bottom w:val="single" w:sz="8" w:color="auto"/>
              <w:right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500" w:type="dxa"/>
            <w:vAlign w:val="bottom"/>
            <w:gridSpan w:val="3"/>
          </w:tcPr>
          <w:p>
            <w:pPr>
              <w:spacing w:after="0"/>
              <w:rPr>
                <w:sz w:val="20"/>
                <w:szCs w:val="20"/>
                <w:color w:val="auto"/>
              </w:rPr>
            </w:pPr>
            <w:r>
              <w:rPr>
                <w:rFonts w:ascii="Arial" w:cs="Arial" w:eastAsia="Arial" w:hAnsi="Arial"/>
                <w:sz w:val="14"/>
                <w:szCs w:val="14"/>
                <w:color w:val="auto"/>
                <w:w w:val="97"/>
              </w:rPr>
              <w:t>See accompanying notes to condensed consolidated financial statements.</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9"/>
        </w:trPr>
        <w:tc>
          <w:tcPr>
            <w:tcW w:w="3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5</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0" w:lineRule="exact"/>
        <w:rPr>
          <w:sz w:val="20"/>
          <w:szCs w:val="20"/>
          <w:color w:val="auto"/>
        </w:rPr>
      </w:pPr>
    </w:p>
    <w:p>
      <w:pPr>
        <w:ind w:right="4380"/>
        <w:spacing w:after="0" w:line="274"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cash flows and financial condition for the periods shown, including normal, recurring accruals and other items. The consolidated results of operations for the interim periods presented are not necessarily indicative of results for the full year.</w:t>
      </w:r>
    </w:p>
    <w:p>
      <w:pPr>
        <w:spacing w:after="0" w:line="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2017 Annual Report on Form 10-K and the footnotes within this Form 10-Q.</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Reclassifications have been made to our condensed consolidated financial statements for the prior year periods to conform to classifications used in 2018. See Note 7 for a discussion of the effects of the adoption of new accounting pronouncements and tax reform on our condensed consolidated financial statements.</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Segment Information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present our operations in five reportable business segments:</w:t>
      </w:r>
    </w:p>
    <w:p>
      <w:pPr>
        <w:spacing w:after="0" w:line="73" w:lineRule="exact"/>
        <w:rPr>
          <w:sz w:val="20"/>
          <w:szCs w:val="20"/>
          <w:color w:val="auto"/>
        </w:rPr>
      </w:pPr>
    </w:p>
    <w:p>
      <w:pPr>
        <w:jc w:val="both"/>
        <w:ind w:left="660" w:hanging="328"/>
        <w:spacing w:after="0" w:line="26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one of the nation’s largest providers of video, high-speed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voice, and security and automation services (“cable services”) to residential customers under the XFINITY brand; we also provide these and other services to business customers and sell advertising.</w:t>
      </w:r>
    </w:p>
    <w:p>
      <w:pPr>
        <w:spacing w:after="0" w:line="27"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that provide a variety of entertainment, news and information, and sports</w:t>
      </w:r>
      <w:r>
        <w:rPr>
          <w:rFonts w:ascii="Arial" w:cs="Arial" w:eastAsia="Arial" w:hAnsi="Arial"/>
          <w:sz w:val="18"/>
          <w:szCs w:val="18"/>
          <w:b w:val="1"/>
          <w:bCs w:val="1"/>
          <w:color w:val="auto"/>
        </w:rPr>
        <w:t xml:space="preserve"> </w:t>
      </w:r>
      <w:r>
        <w:rPr>
          <w:rFonts w:ascii="Arial" w:cs="Arial" w:eastAsia="Arial" w:hAnsi="Arial"/>
          <w:sz w:val="18"/>
          <w:szCs w:val="18"/>
          <w:color w:val="auto"/>
        </w:rPr>
        <w:t>content, our regional sports and news networks, our international cable networks, our cable television studio production operations, and various digital properties.</w:t>
      </w:r>
    </w:p>
    <w:p>
      <w:pPr>
        <w:spacing w:after="0" w:line="27" w:lineRule="exact"/>
        <w:rPr>
          <w:rFonts w:ascii="Arial" w:cs="Arial" w:eastAsia="Arial" w:hAnsi="Arial"/>
          <w:sz w:val="18"/>
          <w:szCs w:val="18"/>
          <w:color w:val="auto"/>
        </w:rPr>
      </w:pPr>
    </w:p>
    <w:p>
      <w:pPr>
        <w:ind w:left="660" w:hanging="328"/>
        <w:spacing w:after="0" w:line="325"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Broadcast Television: </w:t>
      </w:r>
      <w:r>
        <w:rPr>
          <w:rFonts w:ascii="Arial" w:cs="Arial" w:eastAsia="Arial" w:hAnsi="Arial"/>
          <w:sz w:val="16"/>
          <w:szCs w:val="16"/>
          <w:color w:val="auto"/>
        </w:rPr>
        <w:t>Consists primarily of the NBC and Telemundo broadcast networks, our NBC and Telemundo owned local broadcast</w:t>
      </w:r>
      <w:r>
        <w:rPr>
          <w:rFonts w:ascii="Arial" w:cs="Arial" w:eastAsia="Arial" w:hAnsi="Arial"/>
          <w:sz w:val="16"/>
          <w:szCs w:val="16"/>
          <w:b w:val="1"/>
          <w:bCs w:val="1"/>
          <w:color w:val="auto"/>
        </w:rPr>
        <w:t xml:space="preserve"> </w:t>
      </w:r>
      <w:r>
        <w:rPr>
          <w:rFonts w:ascii="Arial" w:cs="Arial" w:eastAsia="Arial" w:hAnsi="Arial"/>
          <w:sz w:val="16"/>
          <w:szCs w:val="16"/>
          <w:color w:val="auto"/>
        </w:rPr>
        <w:t>television stations, the NBC Universo national cable network, our broadcast television studio production operations, and various digital properties.</w:t>
      </w:r>
    </w:p>
    <w:p>
      <w:pPr>
        <w:spacing w:after="0" w:line="1" w:lineRule="exact"/>
        <w:rPr>
          <w:rFonts w:ascii="Arial" w:cs="Arial" w:eastAsia="Arial" w:hAnsi="Arial"/>
          <w:sz w:val="16"/>
          <w:szCs w:val="16"/>
          <w:color w:val="auto"/>
        </w:rPr>
      </w:pPr>
    </w:p>
    <w:p>
      <w:pPr>
        <w:ind w:left="660" w:hanging="328"/>
        <w:spacing w:after="0" w:line="30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Filmed Entertainment: </w:t>
      </w:r>
      <w:r>
        <w:rPr>
          <w:rFonts w:ascii="Arial" w:cs="Arial" w:eastAsia="Arial" w:hAnsi="Arial"/>
          <w:sz w:val="17"/>
          <w:szCs w:val="17"/>
          <w:color w:val="auto"/>
        </w:rPr>
        <w:t>Consists primarily of the operations of Universal Pictures, which produces, acquires, markets and distributes filmed</w:t>
      </w:r>
      <w:r>
        <w:rPr>
          <w:rFonts w:ascii="Arial" w:cs="Arial" w:eastAsia="Arial" w:hAnsi="Arial"/>
          <w:sz w:val="17"/>
          <w:szCs w:val="17"/>
          <w:b w:val="1"/>
          <w:bCs w:val="1"/>
          <w:color w:val="auto"/>
        </w:rPr>
        <w:t xml:space="preserve"> </w:t>
      </w:r>
      <w:r>
        <w:rPr>
          <w:rFonts w:ascii="Arial" w:cs="Arial" w:eastAsia="Arial" w:hAnsi="Arial"/>
          <w:sz w:val="17"/>
          <w:szCs w:val="17"/>
          <w:color w:val="auto"/>
        </w:rPr>
        <w:t>entertainment worldwide; our films are also produced under the Illumination, DreamWorks Animation and Focus Features names.</w:t>
      </w:r>
    </w:p>
    <w:p>
      <w:pPr>
        <w:spacing w:after="0" w:line="1" w:lineRule="exact"/>
        <w:rPr>
          <w:rFonts w:ascii="Arial" w:cs="Arial" w:eastAsia="Arial" w:hAnsi="Arial"/>
          <w:sz w:val="17"/>
          <w:szCs w:val="17"/>
          <w:color w:val="auto"/>
        </w:rPr>
      </w:pPr>
    </w:p>
    <w:p>
      <w:pPr>
        <w:ind w:left="660" w:right="20" w:hanging="328"/>
        <w:spacing w:after="0" w:line="309"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Theme Parks: </w:t>
      </w:r>
      <w:r>
        <w:rPr>
          <w:rFonts w:ascii="Arial" w:cs="Arial" w:eastAsia="Arial" w:hAnsi="Arial"/>
          <w:sz w:val="17"/>
          <w:szCs w:val="17"/>
          <w:color w:val="auto"/>
        </w:rPr>
        <w:t>Consists primarily of our Universal theme parks in Orlando, Florida; Hollywood, California; and Osaka, Japan. In addition, along</w:t>
      </w:r>
      <w:r>
        <w:rPr>
          <w:rFonts w:ascii="Arial" w:cs="Arial" w:eastAsia="Arial" w:hAnsi="Arial"/>
          <w:sz w:val="17"/>
          <w:szCs w:val="17"/>
          <w:b w:val="1"/>
          <w:bCs w:val="1"/>
          <w:color w:val="auto"/>
        </w:rPr>
        <w:t xml:space="preserve"> </w:t>
      </w:r>
      <w:r>
        <w:rPr>
          <w:rFonts w:ascii="Arial" w:cs="Arial" w:eastAsia="Arial" w:hAnsi="Arial"/>
          <w:sz w:val="17"/>
          <w:szCs w:val="17"/>
          <w:color w:val="auto"/>
        </w:rPr>
        <w:t>with a consortium of Chinese state-owned companies, we are developing a Universal theme park and resort in Beijing, China.</w:t>
      </w:r>
    </w:p>
    <w:p>
      <w:pPr>
        <w:spacing w:after="0" w:line="308" w:lineRule="auto"/>
        <w:rPr>
          <w:sz w:val="20"/>
          <w:szCs w:val="20"/>
          <w:color w:val="auto"/>
        </w:rPr>
      </w:pPr>
      <w:r>
        <w:rPr>
          <w:rFonts w:ascii="Arial" w:cs="Arial" w:eastAsia="Arial" w:hAnsi="Arial"/>
          <w:sz w:val="17"/>
          <w:szCs w:val="17"/>
          <w:color w:val="auto"/>
        </w:rPr>
        <w:t>We use Adjusted EBITDA to evaluate the profitability of our operating segments and the components of net income attributable to Comcast Corporation excluded from Adjusted EBITDA are not separately evaluated. Our financial data by business segment is presented in the tables below.</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5"/>
          </w:tcPr>
          <w:p>
            <w:pPr>
              <w:jc w:val="center"/>
              <w:ind w:right="273"/>
              <w:spacing w:after="0"/>
              <w:rPr>
                <w:sz w:val="20"/>
                <w:szCs w:val="20"/>
                <w:color w:val="auto"/>
              </w:rPr>
            </w:pPr>
            <w:r>
              <w:rPr>
                <w:rFonts w:ascii="Arial" w:cs="Arial" w:eastAsia="Arial" w:hAnsi="Arial"/>
                <w:sz w:val="14"/>
                <w:szCs w:val="14"/>
                <w:color w:val="auto"/>
                <w:w w:val="92"/>
              </w:rPr>
              <w:t>Three Months Ended June 30, 2018</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56"/>
        </w:trPr>
        <w:tc>
          <w:tcPr>
            <w:tcW w:w="4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13"/>
              <w:spacing w:after="0" w:line="157" w:lineRule="exact"/>
              <w:rPr>
                <w:sz w:val="20"/>
                <w:szCs w:val="20"/>
                <w:color w:val="auto"/>
              </w:rPr>
            </w:pPr>
            <w:r>
              <w:rPr>
                <w:rFonts w:ascii="Arial" w:cs="Arial" w:eastAsia="Arial" w:hAnsi="Arial"/>
                <w:sz w:val="14"/>
                <w:szCs w:val="14"/>
                <w:color w:val="auto"/>
                <w:w w:val="92"/>
              </w:rPr>
              <w:t>Depreciation and</w:t>
            </w:r>
          </w:p>
        </w:tc>
        <w:tc>
          <w:tcPr>
            <w:tcW w:w="280" w:type="dxa"/>
            <w:vAlign w:val="bottom"/>
          </w:tcPr>
          <w:p>
            <w:pPr>
              <w:spacing w:after="0"/>
              <w:rPr>
                <w:sz w:val="13"/>
                <w:szCs w:val="13"/>
                <w:color w:val="auto"/>
              </w:rPr>
            </w:pPr>
          </w:p>
        </w:tc>
        <w:tc>
          <w:tcPr>
            <w:tcW w:w="980" w:type="dxa"/>
            <w:vAlign w:val="bottom"/>
          </w:tcPr>
          <w:p>
            <w:pPr>
              <w:jc w:val="center"/>
              <w:ind w:right="113"/>
              <w:spacing w:after="0" w:line="157" w:lineRule="exact"/>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3"/>
                <w:szCs w:val="13"/>
                <w:color w:val="auto"/>
              </w:rPr>
            </w:pPr>
          </w:p>
        </w:tc>
        <w:tc>
          <w:tcPr>
            <w:tcW w:w="1140" w:type="dxa"/>
            <w:vAlign w:val="bottom"/>
          </w:tcPr>
          <w:p>
            <w:pPr>
              <w:jc w:val="center"/>
              <w:ind w:right="33"/>
              <w:spacing w:after="0" w:line="157" w:lineRule="exact"/>
              <w:rPr>
                <w:sz w:val="20"/>
                <w:szCs w:val="20"/>
                <w:color w:val="auto"/>
              </w:rPr>
            </w:pPr>
            <w:r>
              <w:rPr>
                <w:rFonts w:ascii="Arial" w:cs="Arial" w:eastAsia="Arial" w:hAnsi="Arial"/>
                <w:sz w:val="14"/>
                <w:szCs w:val="14"/>
                <w:color w:val="auto"/>
                <w:w w:val="91"/>
              </w:rPr>
              <w:t>Cash Paid for</w:t>
            </w:r>
          </w:p>
        </w:tc>
      </w:tr>
      <w:tr>
        <w:trPr>
          <w:trHeight w:val="188"/>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Revenue</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Adjusted EBITDA</w:t>
            </w:r>
            <w:r>
              <w:rPr>
                <w:rFonts w:ascii="Arial" w:cs="Arial" w:eastAsia="Arial" w:hAnsi="Arial"/>
                <w:sz w:val="12"/>
                <w:szCs w:val="12"/>
                <w:color w:val="auto"/>
              </w:rPr>
              <w:t>(d)</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7"/>
              </w:rPr>
              <w:t>Amortization</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color w:val="auto"/>
                <w:w w:val="92"/>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1"/>
              </w:rPr>
              <w:t>Intangible Assets</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Cable Communications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13,710</w:t>
            </w:r>
          </w:p>
        </w:tc>
        <w:tc>
          <w:tcPr>
            <w:tcW w:w="46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5,638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2,047</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1,766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328</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2,916</w:t>
            </w:r>
          </w:p>
        </w:tc>
        <w:tc>
          <w:tcPr>
            <w:tcW w:w="46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1,186</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179</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w:t>
            </w: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2,391</w:t>
            </w:r>
          </w:p>
        </w:tc>
        <w:tc>
          <w:tcPr>
            <w:tcW w:w="46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417</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1,710</w:t>
            </w:r>
          </w:p>
        </w:tc>
        <w:tc>
          <w:tcPr>
            <w:tcW w:w="46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8</w:t>
            </w: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1,361</w:t>
            </w:r>
          </w:p>
        </w:tc>
        <w:tc>
          <w:tcPr>
            <w:tcW w:w="46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569</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167</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360</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119</w:t>
            </w:r>
          </w:p>
        </w:tc>
      </w:tr>
      <w:tr>
        <w:trPr>
          <w:trHeight w:val="310"/>
        </w:trPr>
        <w:tc>
          <w:tcPr>
            <w:tcW w:w="4920" w:type="dxa"/>
            <w:vAlign w:val="bottom"/>
          </w:tcPr>
          <w:p>
            <w:pPr>
              <w:ind w:left="38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31</w:t>
            </w:r>
          </w:p>
        </w:tc>
      </w:tr>
      <w:tr>
        <w:trPr>
          <w:trHeight w:val="257"/>
        </w:trPr>
        <w:tc>
          <w:tcPr>
            <w:tcW w:w="4920" w:type="dxa"/>
            <w:vAlign w:val="bottom"/>
            <w:tcBorders>
              <w:bottom w:val="single" w:sz="8" w:color="auto"/>
            </w:tcBorders>
          </w:tcPr>
          <w:p>
            <w:pPr>
              <w:ind w:left="38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8,313</w:t>
            </w:r>
          </w:p>
        </w:tc>
        <w:tc>
          <w:tcPr>
            <w:tcW w:w="46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2,160</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553</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461</w:t>
            </w:r>
          </w:p>
        </w:tc>
        <w:tc>
          <w:tcPr>
            <w:tcW w:w="16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166</w:t>
            </w:r>
          </w:p>
        </w:tc>
      </w:tr>
      <w:tr>
        <w:trPr>
          <w:trHeight w:val="310"/>
        </w:trPr>
        <w:tc>
          <w:tcPr>
            <w:tcW w:w="4920" w:type="dxa"/>
            <w:vAlign w:val="bottom"/>
          </w:tcPr>
          <w:p>
            <w:pPr>
              <w:ind w:left="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25"/>
                <w:szCs w:val="25"/>
                <w:color w:val="auto"/>
                <w:vertAlign w:val="superscript"/>
              </w:rPr>
              <w:t>(c)</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255</w:t>
            </w: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(392)</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17</w:t>
            </w:r>
          </w:p>
        </w:tc>
      </w:tr>
      <w:tr>
        <w:trPr>
          <w:trHeight w:val="257"/>
        </w:trPr>
        <w:tc>
          <w:tcPr>
            <w:tcW w:w="492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Comcast Consolidated</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21,735</w:t>
            </w:r>
          </w:p>
        </w:tc>
        <w:tc>
          <w:tcPr>
            <w:tcW w:w="460" w:type="dxa"/>
            <w:vAlign w:val="bottom"/>
          </w:tcPr>
          <w:p>
            <w:pPr>
              <w:jc w:val="right"/>
              <w:ind w:right="236"/>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7,417</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2,603</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2,250</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b w:val="1"/>
                <w:bCs w:val="1"/>
                <w:color w:val="auto"/>
              </w:rPr>
              <w:t>511</w:t>
            </w:r>
          </w:p>
        </w:tc>
      </w:tr>
      <w:tr>
        <w:trPr>
          <w:trHeight w:val="34"/>
        </w:trPr>
        <w:tc>
          <w:tcPr>
            <w:tcW w:w="4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32"/>
        </w:trPr>
        <w:tc>
          <w:tcPr>
            <w:tcW w:w="49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5"/>
          </w:tcPr>
          <w:p>
            <w:pPr>
              <w:jc w:val="center"/>
              <w:ind w:right="273"/>
              <w:spacing w:after="0"/>
              <w:rPr>
                <w:sz w:val="20"/>
                <w:szCs w:val="20"/>
                <w:color w:val="auto"/>
              </w:rPr>
            </w:pPr>
            <w:r>
              <w:rPr>
                <w:rFonts w:ascii="Arial" w:cs="Arial" w:eastAsia="Arial" w:hAnsi="Arial"/>
                <w:sz w:val="14"/>
                <w:szCs w:val="14"/>
                <w:color w:val="auto"/>
                <w:w w:val="92"/>
              </w:rPr>
              <w:t>Three Months Ended June 30, 2017</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56"/>
        </w:trPr>
        <w:tc>
          <w:tcPr>
            <w:tcW w:w="4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13"/>
              <w:spacing w:after="0" w:line="157" w:lineRule="exact"/>
              <w:rPr>
                <w:sz w:val="20"/>
                <w:szCs w:val="20"/>
                <w:color w:val="auto"/>
              </w:rPr>
            </w:pPr>
            <w:r>
              <w:rPr>
                <w:rFonts w:ascii="Arial" w:cs="Arial" w:eastAsia="Arial" w:hAnsi="Arial"/>
                <w:sz w:val="14"/>
                <w:szCs w:val="14"/>
                <w:color w:val="auto"/>
                <w:w w:val="92"/>
              </w:rPr>
              <w:t>Depreciation and</w:t>
            </w:r>
          </w:p>
        </w:tc>
        <w:tc>
          <w:tcPr>
            <w:tcW w:w="280" w:type="dxa"/>
            <w:vAlign w:val="bottom"/>
          </w:tcPr>
          <w:p>
            <w:pPr>
              <w:spacing w:after="0"/>
              <w:rPr>
                <w:sz w:val="13"/>
                <w:szCs w:val="13"/>
                <w:color w:val="auto"/>
              </w:rPr>
            </w:pPr>
          </w:p>
        </w:tc>
        <w:tc>
          <w:tcPr>
            <w:tcW w:w="980" w:type="dxa"/>
            <w:vAlign w:val="bottom"/>
          </w:tcPr>
          <w:p>
            <w:pPr>
              <w:jc w:val="center"/>
              <w:ind w:right="113"/>
              <w:spacing w:after="0" w:line="157" w:lineRule="exact"/>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3"/>
                <w:szCs w:val="13"/>
                <w:color w:val="auto"/>
              </w:rPr>
            </w:pPr>
          </w:p>
        </w:tc>
        <w:tc>
          <w:tcPr>
            <w:tcW w:w="1140" w:type="dxa"/>
            <w:vAlign w:val="bottom"/>
          </w:tcPr>
          <w:p>
            <w:pPr>
              <w:jc w:val="center"/>
              <w:ind w:right="33"/>
              <w:spacing w:after="0" w:line="157" w:lineRule="exact"/>
              <w:rPr>
                <w:sz w:val="20"/>
                <w:szCs w:val="20"/>
                <w:color w:val="auto"/>
              </w:rPr>
            </w:pPr>
            <w:r>
              <w:rPr>
                <w:rFonts w:ascii="Arial" w:cs="Arial" w:eastAsia="Arial" w:hAnsi="Arial"/>
                <w:sz w:val="14"/>
                <w:szCs w:val="14"/>
                <w:color w:val="auto"/>
                <w:w w:val="91"/>
              </w:rPr>
              <w:t>Cash Paid for</w:t>
            </w:r>
          </w:p>
        </w:tc>
      </w:tr>
      <w:tr>
        <w:trPr>
          <w:trHeight w:val="188"/>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Revenue</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Adjusted EBITDA</w:t>
            </w:r>
            <w:r>
              <w:rPr>
                <w:rFonts w:ascii="Arial" w:cs="Arial" w:eastAsia="Arial" w:hAnsi="Arial"/>
                <w:sz w:val="12"/>
                <w:szCs w:val="12"/>
                <w:color w:val="auto"/>
              </w:rPr>
              <w:t>(d)</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7"/>
              </w:rPr>
              <w:t>Amortization</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color w:val="auto"/>
                <w:w w:val="92"/>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1"/>
              </w:rPr>
              <w:t>Intangible Assets</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Cable Communications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13,257</w:t>
            </w:r>
          </w:p>
        </w:tc>
        <w:tc>
          <w:tcPr>
            <w:tcW w:w="46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5,293</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1,967</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1,956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291</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2,696</w:t>
            </w:r>
          </w:p>
        </w:tc>
        <w:tc>
          <w:tcPr>
            <w:tcW w:w="46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1,055</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181</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w:t>
            </w: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2,241</w:t>
            </w:r>
          </w:p>
        </w:tc>
        <w:tc>
          <w:tcPr>
            <w:tcW w:w="46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416</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w:t>
            </w: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2,142</w:t>
            </w:r>
          </w:p>
        </w:tc>
        <w:tc>
          <w:tcPr>
            <w:tcW w:w="46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w:t>
            </w: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1,314</w:t>
            </w:r>
          </w:p>
        </w:tc>
        <w:tc>
          <w:tcPr>
            <w:tcW w:w="46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551</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186</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243</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26</w:t>
            </w:r>
          </w:p>
        </w:tc>
      </w:tr>
      <w:tr>
        <w:trPr>
          <w:trHeight w:val="310"/>
        </w:trPr>
        <w:tc>
          <w:tcPr>
            <w:tcW w:w="4920" w:type="dxa"/>
            <w:vAlign w:val="bottom"/>
          </w:tcPr>
          <w:p>
            <w:pPr>
              <w:ind w:left="38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(235)</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33</w:t>
            </w:r>
          </w:p>
        </w:tc>
      </w:tr>
      <w:tr>
        <w:trPr>
          <w:trHeight w:val="257"/>
        </w:trPr>
        <w:tc>
          <w:tcPr>
            <w:tcW w:w="4920" w:type="dxa"/>
            <w:vAlign w:val="bottom"/>
            <w:tcBorders>
              <w:bottom w:val="single" w:sz="8" w:color="auto"/>
            </w:tcBorders>
          </w:tcPr>
          <w:p>
            <w:pPr>
              <w:ind w:left="38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8,318</w:t>
            </w:r>
          </w:p>
        </w:tc>
        <w:tc>
          <w:tcPr>
            <w:tcW w:w="46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2,074</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520</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338</w:t>
            </w:r>
          </w:p>
        </w:tc>
        <w:tc>
          <w:tcPr>
            <w:tcW w:w="16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73</w:t>
            </w:r>
          </w:p>
        </w:tc>
      </w:tr>
      <w:tr>
        <w:trPr>
          <w:trHeight w:val="310"/>
        </w:trPr>
        <w:tc>
          <w:tcPr>
            <w:tcW w:w="4920" w:type="dxa"/>
            <w:vAlign w:val="bottom"/>
          </w:tcPr>
          <w:p>
            <w:pPr>
              <w:ind w:left="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25"/>
                <w:szCs w:val="25"/>
                <w:color w:val="auto"/>
                <w:vertAlign w:val="superscript"/>
              </w:rPr>
              <w:t>(c)</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205</w:t>
            </w: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(302)</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22</w:t>
            </w:r>
          </w:p>
        </w:tc>
      </w:tr>
      <w:tr>
        <w:trPr>
          <w:trHeight w:val="257"/>
        </w:trPr>
        <w:tc>
          <w:tcPr>
            <w:tcW w:w="492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Comcast Consolidated</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21,286</w:t>
            </w:r>
          </w:p>
        </w:tc>
        <w:tc>
          <w:tcPr>
            <w:tcW w:w="460" w:type="dxa"/>
            <w:vAlign w:val="bottom"/>
          </w:tcPr>
          <w:p>
            <w:pPr>
              <w:jc w:val="right"/>
              <w:ind w:right="236"/>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7,075</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2,507</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2,327</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b w:val="1"/>
                <w:bCs w:val="1"/>
                <w:color w:val="auto"/>
              </w:rPr>
              <w:t>386</w:t>
            </w:r>
          </w:p>
        </w:tc>
      </w:tr>
      <w:tr>
        <w:trPr>
          <w:trHeight w:val="34"/>
        </w:trPr>
        <w:tc>
          <w:tcPr>
            <w:tcW w:w="4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32"/>
        </w:trPr>
        <w:tc>
          <w:tcPr>
            <w:tcW w:w="49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center"/>
              <w:ind w:left="531"/>
              <w:spacing w:after="0"/>
              <w:rPr>
                <w:sz w:val="20"/>
                <w:szCs w:val="20"/>
                <w:color w:val="auto"/>
              </w:rPr>
            </w:pPr>
            <w:r>
              <w:rPr>
                <w:rFonts w:ascii="Arial" w:cs="Arial" w:eastAsia="Arial" w:hAnsi="Arial"/>
                <w:sz w:val="14"/>
                <w:szCs w:val="14"/>
                <w:color w:val="auto"/>
                <w:w w:val="92"/>
              </w:rPr>
              <w:t>Six Months Ended June 30, 2018</w:t>
            </w: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56"/>
        </w:trPr>
        <w:tc>
          <w:tcPr>
            <w:tcW w:w="4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13"/>
              <w:spacing w:after="0" w:line="157" w:lineRule="exact"/>
              <w:rPr>
                <w:sz w:val="20"/>
                <w:szCs w:val="20"/>
                <w:color w:val="auto"/>
              </w:rPr>
            </w:pPr>
            <w:r>
              <w:rPr>
                <w:rFonts w:ascii="Arial" w:cs="Arial" w:eastAsia="Arial" w:hAnsi="Arial"/>
                <w:sz w:val="14"/>
                <w:szCs w:val="14"/>
                <w:color w:val="auto"/>
                <w:w w:val="92"/>
              </w:rPr>
              <w:t>Depreciation and</w:t>
            </w:r>
          </w:p>
        </w:tc>
        <w:tc>
          <w:tcPr>
            <w:tcW w:w="280" w:type="dxa"/>
            <w:vAlign w:val="bottom"/>
          </w:tcPr>
          <w:p>
            <w:pPr>
              <w:spacing w:after="0"/>
              <w:rPr>
                <w:sz w:val="13"/>
                <w:szCs w:val="13"/>
                <w:color w:val="auto"/>
              </w:rPr>
            </w:pPr>
          </w:p>
        </w:tc>
        <w:tc>
          <w:tcPr>
            <w:tcW w:w="980" w:type="dxa"/>
            <w:vAlign w:val="bottom"/>
          </w:tcPr>
          <w:p>
            <w:pPr>
              <w:jc w:val="center"/>
              <w:ind w:right="113"/>
              <w:spacing w:after="0" w:line="157" w:lineRule="exact"/>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3"/>
                <w:szCs w:val="13"/>
                <w:color w:val="auto"/>
              </w:rPr>
            </w:pPr>
          </w:p>
        </w:tc>
        <w:tc>
          <w:tcPr>
            <w:tcW w:w="1140" w:type="dxa"/>
            <w:vAlign w:val="bottom"/>
          </w:tcPr>
          <w:p>
            <w:pPr>
              <w:jc w:val="center"/>
              <w:ind w:right="33"/>
              <w:spacing w:after="0" w:line="157" w:lineRule="exact"/>
              <w:rPr>
                <w:sz w:val="20"/>
                <w:szCs w:val="20"/>
                <w:color w:val="auto"/>
              </w:rPr>
            </w:pPr>
            <w:r>
              <w:rPr>
                <w:rFonts w:ascii="Arial" w:cs="Arial" w:eastAsia="Arial" w:hAnsi="Arial"/>
                <w:sz w:val="14"/>
                <w:szCs w:val="14"/>
                <w:color w:val="auto"/>
                <w:w w:val="91"/>
              </w:rPr>
              <w:t>Cash Paid for</w:t>
            </w:r>
          </w:p>
        </w:tc>
      </w:tr>
      <w:tr>
        <w:trPr>
          <w:trHeight w:val="188"/>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Revenue</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Adjusted EBITDA</w:t>
            </w:r>
            <w:r>
              <w:rPr>
                <w:rFonts w:ascii="Arial" w:cs="Arial" w:eastAsia="Arial" w:hAnsi="Arial"/>
                <w:sz w:val="12"/>
                <w:szCs w:val="12"/>
                <w:color w:val="auto"/>
              </w:rPr>
              <w:t>(d)</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7"/>
              </w:rPr>
              <w:t>Amortization</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color w:val="auto"/>
                <w:w w:val="92"/>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1"/>
              </w:rPr>
              <w:t>Intangible Assets</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Cable Communications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27,228</w:t>
            </w:r>
          </w:p>
        </w:tc>
        <w:tc>
          <w:tcPr>
            <w:tcW w:w="46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11,053</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4,100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3,454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597</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310"/>
        </w:trPr>
        <w:tc>
          <w:tcPr>
            <w:tcW w:w="4920" w:type="dxa"/>
            <w:vAlign w:val="bottom"/>
          </w:tcPr>
          <w:p>
            <w:pPr>
              <w:ind w:left="380"/>
              <w:spacing w:after="0"/>
              <w:rPr>
                <w:sz w:val="20"/>
                <w:szCs w:val="20"/>
                <w:color w:val="auto"/>
              </w:rPr>
            </w:pPr>
            <w:r>
              <w:rPr>
                <w:rFonts w:ascii="Arial" w:cs="Arial" w:eastAsia="Arial" w:hAnsi="Arial"/>
                <w:sz w:val="18"/>
                <w:szCs w:val="18"/>
                <w:color w:val="auto"/>
              </w:rPr>
              <w:t>Cable Networks</w:t>
            </w:r>
            <w:r>
              <w:rPr>
                <w:rFonts w:ascii="Arial" w:cs="Arial" w:eastAsia="Arial" w:hAnsi="Arial"/>
                <w:sz w:val="25"/>
                <w:szCs w:val="25"/>
                <w:color w:val="auto"/>
                <w:vertAlign w:val="superscript"/>
              </w:rPr>
              <w:t>(e)</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6,110</w:t>
            </w:r>
          </w:p>
        </w:tc>
        <w:tc>
          <w:tcPr>
            <w:tcW w:w="460" w:type="dxa"/>
            <w:vAlign w:val="bottom"/>
          </w:tcPr>
          <w:p>
            <w:pPr>
              <w:spacing w:after="0"/>
              <w:rPr>
                <w:sz w:val="24"/>
                <w:szCs w:val="24"/>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2,454</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368</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9</w:t>
            </w:r>
          </w:p>
        </w:tc>
      </w:tr>
      <w:tr>
        <w:trPr>
          <w:trHeight w:val="270"/>
        </w:trPr>
        <w:tc>
          <w:tcPr>
            <w:tcW w:w="4920" w:type="dxa"/>
            <w:vAlign w:val="bottom"/>
          </w:tcPr>
          <w:p>
            <w:pPr>
              <w:ind w:left="380"/>
              <w:spacing w:after="0" w:line="270" w:lineRule="exact"/>
              <w:rPr>
                <w:sz w:val="20"/>
                <w:szCs w:val="20"/>
                <w:color w:val="auto"/>
              </w:rPr>
            </w:pPr>
            <w:r>
              <w:rPr>
                <w:rFonts w:ascii="Arial" w:cs="Arial" w:eastAsia="Arial" w:hAnsi="Arial"/>
                <w:sz w:val="18"/>
                <w:szCs w:val="18"/>
                <w:color w:val="auto"/>
              </w:rPr>
              <w:t>Broadcast Television</w:t>
            </w:r>
            <w:r>
              <w:rPr>
                <w:rFonts w:ascii="Arial" w:cs="Arial" w:eastAsia="Arial" w:hAnsi="Arial"/>
                <w:sz w:val="25"/>
                <w:szCs w:val="25"/>
                <w:color w:val="auto"/>
                <w:vertAlign w:val="superscript"/>
              </w:rPr>
              <w:t>(e)</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5,888</w:t>
            </w:r>
          </w:p>
        </w:tc>
        <w:tc>
          <w:tcPr>
            <w:tcW w:w="46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924</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75</w:t>
            </w:r>
          </w:p>
        </w:tc>
      </w:tr>
      <w:tr>
        <w:trPr>
          <w:trHeight w:val="230"/>
        </w:trPr>
        <w:tc>
          <w:tcPr>
            <w:tcW w:w="492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3,357</w:t>
            </w:r>
          </w:p>
        </w:tc>
        <w:tc>
          <w:tcPr>
            <w:tcW w:w="46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341</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14</w:t>
            </w: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2,642</w:t>
            </w:r>
          </w:p>
        </w:tc>
        <w:tc>
          <w:tcPr>
            <w:tcW w:w="46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1,064</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542</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135</w:t>
            </w:r>
          </w:p>
        </w:tc>
      </w:tr>
      <w:tr>
        <w:trPr>
          <w:trHeight w:val="310"/>
        </w:trPr>
        <w:tc>
          <w:tcPr>
            <w:tcW w:w="4920" w:type="dxa"/>
            <w:vAlign w:val="bottom"/>
          </w:tcPr>
          <w:p>
            <w:pPr>
              <w:ind w:left="38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(336)</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63</w:t>
            </w:r>
          </w:p>
        </w:tc>
      </w:tr>
      <w:tr>
        <w:trPr>
          <w:trHeight w:val="257"/>
        </w:trPr>
        <w:tc>
          <w:tcPr>
            <w:tcW w:w="4920" w:type="dxa"/>
            <w:vAlign w:val="bottom"/>
            <w:tcBorders>
              <w:bottom w:val="single" w:sz="8" w:color="auto"/>
            </w:tcBorders>
          </w:tcPr>
          <w:p>
            <w:pPr>
              <w:ind w:left="38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(b)(e)</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17,843</w:t>
            </w:r>
          </w:p>
        </w:tc>
        <w:tc>
          <w:tcPr>
            <w:tcW w:w="46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4,445</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1,063</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730</w:t>
            </w:r>
          </w:p>
        </w:tc>
        <w:tc>
          <w:tcPr>
            <w:tcW w:w="16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296</w:t>
            </w:r>
          </w:p>
        </w:tc>
      </w:tr>
      <w:tr>
        <w:trPr>
          <w:trHeight w:val="310"/>
        </w:trPr>
        <w:tc>
          <w:tcPr>
            <w:tcW w:w="4920" w:type="dxa"/>
            <w:vAlign w:val="bottom"/>
          </w:tcPr>
          <w:p>
            <w:pPr>
              <w:ind w:left="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25"/>
                <w:szCs w:val="25"/>
                <w:color w:val="auto"/>
                <w:vertAlign w:val="superscript"/>
              </w:rPr>
              <w:t>(c)</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646</w:t>
            </w: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(789)</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37</w:t>
            </w:r>
          </w:p>
        </w:tc>
      </w:tr>
      <w:tr>
        <w:trPr>
          <w:trHeight w:val="257"/>
        </w:trPr>
        <w:tc>
          <w:tcPr>
            <w:tcW w:w="492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(b)(e)</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Comcast Consolidated</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44,526</w:t>
            </w:r>
          </w:p>
        </w:tc>
        <w:tc>
          <w:tcPr>
            <w:tcW w:w="460" w:type="dxa"/>
            <w:vAlign w:val="bottom"/>
          </w:tcPr>
          <w:p>
            <w:pPr>
              <w:jc w:val="right"/>
              <w:ind w:right="236"/>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14,661</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5,202</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4,223</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b w:val="1"/>
                <w:bCs w:val="1"/>
                <w:color w:val="auto"/>
              </w:rPr>
              <w:t>930</w:t>
            </w:r>
          </w:p>
        </w:tc>
      </w:tr>
      <w:tr>
        <w:trPr>
          <w:trHeight w:val="34"/>
        </w:trPr>
        <w:tc>
          <w:tcPr>
            <w:tcW w:w="4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Six Months Ended June 30, 2017</w:t>
            </w:r>
          </w:p>
        </w:tc>
        <w:tc>
          <w:tcPr>
            <w:tcW w:w="9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56"/>
        </w:trPr>
        <w:tc>
          <w:tcPr>
            <w:tcW w:w="4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ind w:right="53"/>
              <w:spacing w:after="0" w:line="157" w:lineRule="exact"/>
              <w:rPr>
                <w:sz w:val="20"/>
                <w:szCs w:val="20"/>
                <w:color w:val="auto"/>
              </w:rPr>
            </w:pPr>
            <w:r>
              <w:rPr>
                <w:rFonts w:ascii="Arial" w:cs="Arial" w:eastAsia="Arial" w:hAnsi="Arial"/>
                <w:sz w:val="14"/>
                <w:szCs w:val="14"/>
                <w:color w:val="auto"/>
                <w:w w:val="94"/>
              </w:rPr>
              <w:t>Depreciation and</w:t>
            </w:r>
          </w:p>
        </w:tc>
        <w:tc>
          <w:tcPr>
            <w:tcW w:w="280" w:type="dxa"/>
            <w:vAlign w:val="bottom"/>
          </w:tcPr>
          <w:p>
            <w:pPr>
              <w:spacing w:after="0"/>
              <w:rPr>
                <w:sz w:val="13"/>
                <w:szCs w:val="13"/>
                <w:color w:val="auto"/>
              </w:rPr>
            </w:pPr>
          </w:p>
        </w:tc>
        <w:tc>
          <w:tcPr>
            <w:tcW w:w="980" w:type="dxa"/>
            <w:vAlign w:val="bottom"/>
          </w:tcPr>
          <w:p>
            <w:pPr>
              <w:jc w:val="right"/>
              <w:ind w:right="293"/>
              <w:spacing w:after="0" w:line="157" w:lineRule="exact"/>
              <w:rPr>
                <w:sz w:val="20"/>
                <w:szCs w:val="20"/>
                <w:color w:val="auto"/>
              </w:rPr>
            </w:pPr>
            <w:r>
              <w:rPr>
                <w:rFonts w:ascii="Arial" w:cs="Arial" w:eastAsia="Arial" w:hAnsi="Arial"/>
                <w:sz w:val="14"/>
                <w:szCs w:val="14"/>
                <w:color w:val="auto"/>
              </w:rPr>
              <w:t>Capital</w:t>
            </w:r>
          </w:p>
        </w:tc>
        <w:tc>
          <w:tcPr>
            <w:tcW w:w="160" w:type="dxa"/>
            <w:vAlign w:val="bottom"/>
          </w:tcPr>
          <w:p>
            <w:pPr>
              <w:spacing w:after="0"/>
              <w:rPr>
                <w:sz w:val="13"/>
                <w:szCs w:val="13"/>
                <w:color w:val="auto"/>
              </w:rPr>
            </w:pPr>
          </w:p>
        </w:tc>
        <w:tc>
          <w:tcPr>
            <w:tcW w:w="1140" w:type="dxa"/>
            <w:vAlign w:val="bottom"/>
          </w:tcPr>
          <w:p>
            <w:pPr>
              <w:jc w:val="right"/>
              <w:ind w:right="153"/>
              <w:spacing w:after="0" w:line="157" w:lineRule="exact"/>
              <w:rPr>
                <w:sz w:val="20"/>
                <w:szCs w:val="20"/>
                <w:color w:val="auto"/>
              </w:rPr>
            </w:pPr>
            <w:r>
              <w:rPr>
                <w:rFonts w:ascii="Arial" w:cs="Arial" w:eastAsia="Arial" w:hAnsi="Arial"/>
                <w:sz w:val="14"/>
                <w:szCs w:val="14"/>
                <w:color w:val="auto"/>
              </w:rPr>
              <w:t>Cash Paid for</w:t>
            </w:r>
          </w:p>
        </w:tc>
      </w:tr>
      <w:tr>
        <w:trPr>
          <w:trHeight w:val="188"/>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Revenue</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Adjusted EBITDA</w:t>
            </w:r>
            <w:r>
              <w:rPr>
                <w:rFonts w:ascii="Arial" w:cs="Arial" w:eastAsia="Arial" w:hAnsi="Arial"/>
                <w:sz w:val="12"/>
                <w:szCs w:val="12"/>
                <w:color w:val="auto"/>
              </w:rPr>
              <w:t>(d)</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Amortization</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w w:val="92"/>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w w:val="91"/>
              </w:rPr>
              <w:t>Intangible Assets</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Cable Communications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26,307</w:t>
            </w:r>
          </w:p>
        </w:tc>
        <w:tc>
          <w:tcPr>
            <w:tcW w:w="46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10,467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3,913</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3,737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613</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5,336</w:t>
            </w:r>
          </w:p>
        </w:tc>
        <w:tc>
          <w:tcPr>
            <w:tcW w:w="46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2,170</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395</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w:t>
            </w: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4,449</w:t>
            </w:r>
          </w:p>
        </w:tc>
        <w:tc>
          <w:tcPr>
            <w:tcW w:w="46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738</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w:t>
            </w: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4,109</w:t>
            </w:r>
          </w:p>
        </w:tc>
        <w:tc>
          <w:tcPr>
            <w:tcW w:w="46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658</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11</w:t>
            </w: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2,432</w:t>
            </w:r>
          </w:p>
        </w:tc>
        <w:tc>
          <w:tcPr>
            <w:tcW w:w="46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948</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328</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472</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39</w:t>
            </w:r>
          </w:p>
        </w:tc>
      </w:tr>
      <w:tr>
        <w:trPr>
          <w:trHeight w:val="310"/>
        </w:trPr>
        <w:tc>
          <w:tcPr>
            <w:tcW w:w="4920" w:type="dxa"/>
            <w:vAlign w:val="bottom"/>
          </w:tcPr>
          <w:p>
            <w:pPr>
              <w:ind w:left="38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(420)</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195</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64</w:t>
            </w:r>
          </w:p>
        </w:tc>
      </w:tr>
      <w:tr>
        <w:trPr>
          <w:trHeight w:val="257"/>
        </w:trPr>
        <w:tc>
          <w:tcPr>
            <w:tcW w:w="4920" w:type="dxa"/>
            <w:vAlign w:val="bottom"/>
            <w:tcBorders>
              <w:bottom w:val="single" w:sz="8" w:color="auto"/>
            </w:tcBorders>
          </w:tcPr>
          <w:p>
            <w:pPr>
              <w:ind w:left="38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16,171</w:t>
            </w:r>
          </w:p>
        </w:tc>
        <w:tc>
          <w:tcPr>
            <w:tcW w:w="46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4,093</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1,028</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623</w:t>
            </w:r>
          </w:p>
        </w:tc>
        <w:tc>
          <w:tcPr>
            <w:tcW w:w="16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128</w:t>
            </w:r>
          </w:p>
        </w:tc>
      </w:tr>
      <w:tr>
        <w:trPr>
          <w:trHeight w:val="310"/>
        </w:trPr>
        <w:tc>
          <w:tcPr>
            <w:tcW w:w="4920" w:type="dxa"/>
            <w:vAlign w:val="bottom"/>
          </w:tcPr>
          <w:p>
            <w:pPr>
              <w:ind w:left="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25"/>
                <w:szCs w:val="25"/>
                <w:color w:val="auto"/>
                <w:vertAlign w:val="superscript"/>
              </w:rPr>
              <w:t>(c)</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413</w:t>
            </w: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(496)</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30</w:t>
            </w:r>
          </w:p>
        </w:tc>
      </w:tr>
      <w:tr>
        <w:trPr>
          <w:trHeight w:val="257"/>
        </w:trPr>
        <w:tc>
          <w:tcPr>
            <w:tcW w:w="492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Comcast Consolidated</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41,873</w:t>
            </w:r>
          </w:p>
        </w:tc>
        <w:tc>
          <w:tcPr>
            <w:tcW w:w="460" w:type="dxa"/>
            <w:vAlign w:val="bottom"/>
          </w:tcPr>
          <w:p>
            <w:pPr>
              <w:jc w:val="right"/>
              <w:ind w:right="236"/>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14,085</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4,975</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4,405</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b w:val="1"/>
                <w:bCs w:val="1"/>
                <w:color w:val="auto"/>
              </w:rPr>
              <w:t>771</w:t>
            </w:r>
          </w:p>
        </w:tc>
      </w:tr>
      <w:tr>
        <w:trPr>
          <w:trHeight w:val="34"/>
        </w:trPr>
        <w:tc>
          <w:tcPr>
            <w:tcW w:w="4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5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NBCUniversal Headquarters and Other activities include costs associated with overhead, allocations, personnel costs and headquarter initiatives.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The most common types of transactions are the following:</w:t>
      </w:r>
    </w:p>
    <w:p>
      <w:pPr>
        <w:spacing w:after="0" w:line="68" w:lineRule="exact"/>
        <w:rPr>
          <w:rFonts w:ascii="Arial" w:cs="Arial" w:eastAsia="Arial" w:hAnsi="Arial"/>
          <w:sz w:val="14"/>
          <w:szCs w:val="14"/>
          <w:color w:val="auto"/>
        </w:rPr>
      </w:pPr>
    </w:p>
    <w:p>
      <w:pPr>
        <w:ind w:left="980" w:hanging="81"/>
        <w:spacing w:after="0" w:line="273" w:lineRule="auto"/>
        <w:tabs>
          <w:tab w:leader="none" w:pos="980" w:val="left"/>
        </w:tabs>
        <w:numPr>
          <w:ilvl w:val="1"/>
          <w:numId w:val="5"/>
        </w:numPr>
        <w:rPr>
          <w:rFonts w:ascii="Arial" w:cs="Arial" w:eastAsia="Arial" w:hAnsi="Arial"/>
          <w:sz w:val="14"/>
          <w:szCs w:val="14"/>
          <w:color w:val="auto"/>
        </w:rPr>
      </w:pPr>
      <w:r>
        <w:rPr>
          <w:rFonts w:ascii="Arial" w:cs="Arial" w:eastAsia="Arial" w:hAnsi="Arial"/>
          <w:sz w:val="14"/>
          <w:szCs w:val="14"/>
          <w:color w:val="auto"/>
        </w:rPr>
        <w:t>our Cable Networks segment generates revenue by selling programming to our Cable Communications segment, which represents a substantial majority of the revenue elimination amount</w:t>
      </w:r>
    </w:p>
    <w:p>
      <w:pPr>
        <w:spacing w:after="0" w:line="25" w:lineRule="exact"/>
        <w:rPr>
          <w:rFonts w:ascii="Arial" w:cs="Arial" w:eastAsia="Arial" w:hAnsi="Arial"/>
          <w:sz w:val="14"/>
          <w:szCs w:val="14"/>
          <w:color w:val="auto"/>
        </w:rPr>
      </w:pPr>
    </w:p>
    <w:p>
      <w:pPr>
        <w:ind w:left="980" w:hanging="81"/>
        <w:spacing w:after="0"/>
        <w:tabs>
          <w:tab w:leader="none" w:pos="980" w:val="left"/>
        </w:tabs>
        <w:numPr>
          <w:ilvl w:val="1"/>
          <w:numId w:val="5"/>
        </w:numPr>
        <w:rPr>
          <w:rFonts w:ascii="Arial" w:cs="Arial" w:eastAsia="Arial" w:hAnsi="Arial"/>
          <w:sz w:val="14"/>
          <w:szCs w:val="14"/>
          <w:color w:val="auto"/>
        </w:rPr>
      </w:pPr>
      <w:r>
        <w:rPr>
          <w:rFonts w:ascii="Arial" w:cs="Arial" w:eastAsia="Arial" w:hAnsi="Arial"/>
          <w:sz w:val="14"/>
          <w:szCs w:val="14"/>
          <w:color w:val="auto"/>
        </w:rPr>
        <w:t>our Broadcast Television segment generates revenue from the fees received under retransmission consent agreements with our Cable Communications segment</w:t>
      </w:r>
    </w:p>
    <w:p>
      <w:pPr>
        <w:spacing w:after="0" w:line="68" w:lineRule="exact"/>
        <w:rPr>
          <w:rFonts w:ascii="Arial" w:cs="Arial" w:eastAsia="Arial" w:hAnsi="Arial"/>
          <w:sz w:val="14"/>
          <w:szCs w:val="14"/>
          <w:color w:val="auto"/>
        </w:rPr>
      </w:pPr>
    </w:p>
    <w:p>
      <w:pPr>
        <w:ind w:left="980" w:hanging="81"/>
        <w:spacing w:after="0"/>
        <w:tabs>
          <w:tab w:leader="none" w:pos="980" w:val="left"/>
        </w:tabs>
        <w:numPr>
          <w:ilvl w:val="1"/>
          <w:numId w:val="5"/>
        </w:numPr>
        <w:rPr>
          <w:rFonts w:ascii="Arial" w:cs="Arial" w:eastAsia="Arial" w:hAnsi="Arial"/>
          <w:sz w:val="14"/>
          <w:szCs w:val="14"/>
          <w:color w:val="auto"/>
        </w:rPr>
      </w:pPr>
      <w:r>
        <w:rPr>
          <w:rFonts w:ascii="Arial" w:cs="Arial" w:eastAsia="Arial" w:hAnsi="Arial"/>
          <w:sz w:val="14"/>
          <w:szCs w:val="14"/>
          <w:color w:val="auto"/>
        </w:rPr>
        <w:t>our Cable Communications segment generates revenue by selling advertising and by selling the use of satellite feeds to our Cable Networks segment</w:t>
      </w:r>
    </w:p>
    <w:p>
      <w:pPr>
        <w:spacing w:after="0" w:line="68" w:lineRule="exact"/>
        <w:rPr>
          <w:rFonts w:ascii="Arial" w:cs="Arial" w:eastAsia="Arial" w:hAnsi="Arial"/>
          <w:sz w:val="14"/>
          <w:szCs w:val="14"/>
          <w:color w:val="auto"/>
        </w:rPr>
      </w:pPr>
    </w:p>
    <w:p>
      <w:pPr>
        <w:ind w:left="980" w:hanging="81"/>
        <w:spacing w:after="0"/>
        <w:tabs>
          <w:tab w:leader="none" w:pos="980" w:val="left"/>
        </w:tabs>
        <w:numPr>
          <w:ilvl w:val="1"/>
          <w:numId w:val="5"/>
        </w:numPr>
        <w:rPr>
          <w:rFonts w:ascii="Arial" w:cs="Arial" w:eastAsia="Arial" w:hAnsi="Arial"/>
          <w:sz w:val="14"/>
          <w:szCs w:val="14"/>
          <w:color w:val="auto"/>
        </w:rPr>
      </w:pPr>
      <w:r>
        <w:rPr>
          <w:rFonts w:ascii="Arial" w:cs="Arial" w:eastAsia="Arial" w:hAnsi="Arial"/>
          <w:sz w:val="14"/>
          <w:szCs w:val="14"/>
          <w:color w:val="auto"/>
        </w:rPr>
        <w:t>our Cable Networks and Broadcast Television segments generate revenue by selling advertising to our Cable Communications segment</w:t>
      </w:r>
    </w:p>
    <w:p>
      <w:pPr>
        <w:spacing w:after="0" w:line="68" w:lineRule="exact"/>
        <w:rPr>
          <w:rFonts w:ascii="Arial" w:cs="Arial" w:eastAsia="Arial" w:hAnsi="Arial"/>
          <w:sz w:val="14"/>
          <w:szCs w:val="14"/>
          <w:color w:val="auto"/>
        </w:rPr>
      </w:pPr>
    </w:p>
    <w:p>
      <w:pPr>
        <w:ind w:left="980" w:hanging="81"/>
        <w:spacing w:after="0" w:line="273" w:lineRule="auto"/>
        <w:tabs>
          <w:tab w:leader="none" w:pos="980" w:val="left"/>
        </w:tabs>
        <w:numPr>
          <w:ilvl w:val="1"/>
          <w:numId w:val="5"/>
        </w:numPr>
        <w:rPr>
          <w:rFonts w:ascii="Arial" w:cs="Arial" w:eastAsia="Arial" w:hAnsi="Arial"/>
          <w:sz w:val="14"/>
          <w:szCs w:val="14"/>
          <w:color w:val="auto"/>
        </w:rPr>
      </w:pPr>
      <w:r>
        <w:rPr>
          <w:rFonts w:ascii="Arial" w:cs="Arial" w:eastAsia="Arial" w:hAnsi="Arial"/>
          <w:sz w:val="14"/>
          <w:szCs w:val="14"/>
          <w:color w:val="auto"/>
        </w:rPr>
        <w:t>our Filmed Entertainment and Broadcast Television segments generate revenue by licensing content to our Cable Networks segment; for segment reporting, this revenue is recognized as the programming rights asset for the licensed content is amortized based on third party revenue</w:t>
      </w:r>
    </w:p>
    <w:p>
      <w:pPr>
        <w:spacing w:after="0" w:line="25" w:lineRule="exact"/>
        <w:rPr>
          <w:rFonts w:ascii="Arial" w:cs="Arial" w:eastAsia="Arial" w:hAnsi="Arial"/>
          <w:sz w:val="14"/>
          <w:szCs w:val="14"/>
          <w:color w:val="auto"/>
        </w:rPr>
      </w:pPr>
    </w:p>
    <w:p>
      <w:pPr>
        <w:ind w:left="340" w:hanging="332"/>
        <w:spacing w:after="0" w:line="273"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Corporate and Other activities include costs associated with overhead and personnel, revenue and expenses associated with other business development initiatives, including our wireless phone service, and the operations of Comcast Spectacor, which owns the Philadelphia Flyers and the Wells Fargo Center arena in Philadelphia, Pennsylvania.</w:t>
      </w:r>
    </w:p>
    <w:p>
      <w:pPr>
        <w:spacing w:after="0" w:line="25" w:lineRule="exact"/>
        <w:rPr>
          <w:rFonts w:ascii="Arial" w:cs="Arial" w:eastAsia="Arial" w:hAnsi="Arial"/>
          <w:sz w:val="14"/>
          <w:szCs w:val="14"/>
          <w:color w:val="auto"/>
        </w:rPr>
      </w:pPr>
    </w:p>
    <w:p>
      <w:pPr>
        <w:jc w:val="both"/>
        <w:ind w:left="340" w:hanging="332"/>
        <w:spacing w:after="0" w:line="247"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use Adjusted EBITDA as the measure of profit or loss for our operating segments. Adjusted EBITDA is defined as net income attributable to Comcast Corporation before net income (loss) attributable to noncontrolling interests and redeemable subsidiary preferred stock,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Our reconciliation of the aggregate amount of Adjusted EBITDA for our reportable segments to consolidated income before income taxes is presented in the table below.</w:t>
      </w:r>
    </w:p>
    <w:p>
      <w:pPr>
        <w:spacing w:after="0" w:line="195"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20" w:type="dxa"/>
            <w:vAlign w:val="bottom"/>
            <w:gridSpan w:val="2"/>
          </w:tcPr>
          <w:p>
            <w:pPr>
              <w:jc w:val="right"/>
              <w:ind w:right="228"/>
              <w:spacing w:after="0"/>
              <w:rPr>
                <w:sz w:val="20"/>
                <w:szCs w:val="20"/>
                <w:color w:val="auto"/>
              </w:rPr>
            </w:pPr>
            <w:r>
              <w:rPr>
                <w:rFonts w:ascii="Arial" w:cs="Arial" w:eastAsia="Arial" w:hAnsi="Arial"/>
                <w:sz w:val="14"/>
                <w:szCs w:val="14"/>
                <w:color w:val="auto"/>
                <w:w w:val="91"/>
              </w:rPr>
              <w:t>Three Months Ended</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800" w:type="dxa"/>
            <w:vAlign w:val="bottom"/>
          </w:tcPr>
          <w:p>
            <w:pPr>
              <w:spacing w:after="0"/>
              <w:rPr>
                <w:sz w:val="14"/>
                <w:szCs w:val="14"/>
                <w:color w:val="auto"/>
              </w:rPr>
            </w:pPr>
          </w:p>
        </w:tc>
      </w:tr>
      <w:tr>
        <w:trPr>
          <w:trHeight w:val="188"/>
        </w:trPr>
        <w:tc>
          <w:tcPr>
            <w:tcW w:w="49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608"/>
              <w:spacing w:after="0"/>
              <w:rPr>
                <w:sz w:val="20"/>
                <w:szCs w:val="20"/>
                <w:color w:val="auto"/>
              </w:rPr>
            </w:pPr>
            <w:r>
              <w:rPr>
                <w:rFonts w:ascii="Arial" w:cs="Arial" w:eastAsia="Arial" w:hAnsi="Arial"/>
                <w:sz w:val="14"/>
                <w:szCs w:val="14"/>
                <w:color w:val="auto"/>
              </w:rPr>
              <w:t>June 30</w:t>
            </w:r>
          </w:p>
        </w:tc>
        <w:tc>
          <w:tcPr>
            <w:tcW w:w="5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ind w:right="248"/>
              <w:spacing w:after="0"/>
              <w:rPr>
                <w:sz w:val="20"/>
                <w:szCs w:val="20"/>
                <w:color w:val="auto"/>
              </w:rPr>
            </w:pPr>
            <w:r>
              <w:rPr>
                <w:rFonts w:ascii="Arial" w:cs="Arial" w:eastAsia="Arial" w:hAnsi="Arial"/>
                <w:sz w:val="14"/>
                <w:szCs w:val="14"/>
                <w:color w:val="auto"/>
              </w:rPr>
              <w:t>June 30</w:t>
            </w:r>
          </w:p>
        </w:tc>
        <w:tc>
          <w:tcPr>
            <w:tcW w:w="800" w:type="dxa"/>
            <w:vAlign w:val="bottom"/>
            <w:tcBorders>
              <w:bottom w:val="single" w:sz="8" w:color="auto"/>
            </w:tcBorders>
          </w:tcPr>
          <w:p>
            <w:pPr>
              <w:spacing w:after="0"/>
              <w:rPr>
                <w:sz w:val="16"/>
                <w:szCs w:val="16"/>
                <w:color w:val="auto"/>
              </w:rPr>
            </w:pPr>
          </w:p>
        </w:tc>
      </w:tr>
      <w:tr>
        <w:trPr>
          <w:trHeight w:val="264"/>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5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5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2018</w:t>
            </w:r>
          </w:p>
        </w:tc>
        <w:tc>
          <w:tcPr>
            <w:tcW w:w="5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w w:val="96"/>
              </w:rPr>
              <w:t>2017</w:t>
            </w:r>
          </w:p>
        </w:tc>
      </w:tr>
      <w:tr>
        <w:trPr>
          <w:trHeight w:val="258"/>
        </w:trPr>
        <w:tc>
          <w:tcPr>
            <w:tcW w:w="490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7,417</w:t>
            </w:r>
          </w:p>
        </w:tc>
        <w:tc>
          <w:tcPr>
            <w:tcW w:w="94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7,075</w:t>
            </w:r>
          </w:p>
        </w:tc>
        <w:tc>
          <w:tcPr>
            <w:tcW w:w="4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14,661</w:t>
            </w:r>
          </w:p>
        </w:tc>
        <w:tc>
          <w:tcPr>
            <w:tcW w:w="5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14,085</w:t>
            </w:r>
          </w:p>
        </w:tc>
      </w:tr>
      <w:tr>
        <w:trPr>
          <w:trHeight w:val="270"/>
        </w:trPr>
        <w:tc>
          <w:tcPr>
            <w:tcW w:w="4900" w:type="dxa"/>
            <w:vAlign w:val="bottom"/>
          </w:tcPr>
          <w:p>
            <w:pPr>
              <w:ind w:left="20"/>
              <w:spacing w:after="0"/>
              <w:rPr>
                <w:sz w:val="20"/>
                <w:szCs w:val="20"/>
                <w:color w:val="auto"/>
              </w:rPr>
            </w:pPr>
            <w:r>
              <w:rPr>
                <w:rFonts w:ascii="Arial" w:cs="Arial" w:eastAsia="Arial" w:hAnsi="Arial"/>
                <w:sz w:val="14"/>
                <w:szCs w:val="14"/>
                <w:color w:val="auto"/>
              </w:rPr>
              <w:t>Depreciation</w:t>
            </w:r>
          </w:p>
        </w:tc>
        <w:tc>
          <w:tcPr>
            <w:tcW w:w="800" w:type="dxa"/>
            <w:vAlign w:val="bottom"/>
          </w:tcPr>
          <w:p>
            <w:pPr>
              <w:spacing w:after="0"/>
              <w:rPr>
                <w:sz w:val="23"/>
                <w:szCs w:val="23"/>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w w:val="94"/>
              </w:rPr>
              <w:t>(2,021)</w:t>
            </w:r>
          </w:p>
        </w:tc>
        <w:tc>
          <w:tcPr>
            <w:tcW w:w="940" w:type="dxa"/>
            <w:vAlign w:val="bottom"/>
          </w:tcPr>
          <w:p>
            <w:pPr>
              <w:spacing w:after="0"/>
              <w:rPr>
                <w:sz w:val="23"/>
                <w:szCs w:val="23"/>
                <w:color w:val="auto"/>
              </w:rPr>
            </w:pPr>
          </w:p>
        </w:tc>
        <w:tc>
          <w:tcPr>
            <w:tcW w:w="580" w:type="dxa"/>
            <w:vAlign w:val="bottom"/>
          </w:tcPr>
          <w:p>
            <w:pPr>
              <w:jc w:val="right"/>
              <w:ind w:right="88"/>
              <w:spacing w:after="0"/>
              <w:rPr>
                <w:sz w:val="20"/>
                <w:szCs w:val="20"/>
                <w:color w:val="auto"/>
              </w:rPr>
            </w:pPr>
            <w:r>
              <w:rPr>
                <w:rFonts w:ascii="Arial" w:cs="Arial" w:eastAsia="Arial" w:hAnsi="Arial"/>
                <w:sz w:val="14"/>
                <w:szCs w:val="14"/>
                <w:color w:val="auto"/>
                <w:w w:val="90"/>
              </w:rPr>
              <w:t>(1,970)</w:t>
            </w:r>
          </w:p>
        </w:tc>
        <w:tc>
          <w:tcPr>
            <w:tcW w:w="420" w:type="dxa"/>
            <w:vAlign w:val="bottom"/>
          </w:tcPr>
          <w:p>
            <w:pPr>
              <w:spacing w:after="0"/>
              <w:rPr>
                <w:sz w:val="23"/>
                <w:szCs w:val="23"/>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(4,032)</w:t>
            </w:r>
          </w:p>
        </w:tc>
        <w:tc>
          <w:tcPr>
            <w:tcW w:w="5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(3,885)</w:t>
            </w:r>
          </w:p>
        </w:tc>
      </w:tr>
      <w:tr>
        <w:trPr>
          <w:trHeight w:val="270"/>
        </w:trPr>
        <w:tc>
          <w:tcPr>
            <w:tcW w:w="490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800" w:type="dxa"/>
            <w:vAlign w:val="bottom"/>
          </w:tcPr>
          <w:p>
            <w:pPr>
              <w:spacing w:after="0"/>
              <w:rPr>
                <w:sz w:val="23"/>
                <w:szCs w:val="23"/>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(582)</w:t>
            </w:r>
          </w:p>
        </w:tc>
        <w:tc>
          <w:tcPr>
            <w:tcW w:w="940" w:type="dxa"/>
            <w:vAlign w:val="bottom"/>
          </w:tcPr>
          <w:p>
            <w:pPr>
              <w:spacing w:after="0"/>
              <w:rPr>
                <w:sz w:val="23"/>
                <w:szCs w:val="23"/>
                <w:color w:val="auto"/>
              </w:rPr>
            </w:pP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(537)</w:t>
            </w:r>
          </w:p>
        </w:tc>
        <w:tc>
          <w:tcPr>
            <w:tcW w:w="420" w:type="dxa"/>
            <w:vAlign w:val="bottom"/>
          </w:tcPr>
          <w:p>
            <w:pPr>
              <w:spacing w:after="0"/>
              <w:rPr>
                <w:sz w:val="23"/>
                <w:szCs w:val="23"/>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(1,170)</w:t>
            </w:r>
          </w:p>
        </w:tc>
        <w:tc>
          <w:tcPr>
            <w:tcW w:w="5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(1,090)</w:t>
            </w:r>
          </w:p>
        </w:tc>
      </w:tr>
      <w:tr>
        <w:trPr>
          <w:trHeight w:val="270"/>
        </w:trPr>
        <w:tc>
          <w:tcPr>
            <w:tcW w:w="4900" w:type="dxa"/>
            <w:vAlign w:val="bottom"/>
          </w:tcPr>
          <w:p>
            <w:pPr>
              <w:ind w:left="20"/>
              <w:spacing w:after="0"/>
              <w:rPr>
                <w:sz w:val="20"/>
                <w:szCs w:val="20"/>
                <w:color w:val="auto"/>
              </w:rPr>
            </w:pPr>
            <w:r>
              <w:rPr>
                <w:rFonts w:ascii="Arial" w:cs="Arial" w:eastAsia="Arial" w:hAnsi="Arial"/>
                <w:sz w:val="14"/>
                <w:szCs w:val="14"/>
                <w:color w:val="auto"/>
              </w:rPr>
              <w:t>Other operating gains</w:t>
            </w:r>
          </w:p>
        </w:tc>
        <w:tc>
          <w:tcPr>
            <w:tcW w:w="800" w:type="dxa"/>
            <w:vAlign w:val="bottom"/>
          </w:tcPr>
          <w:p>
            <w:pPr>
              <w:spacing w:after="0"/>
              <w:rPr>
                <w:sz w:val="23"/>
                <w:szCs w:val="23"/>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200</w:t>
            </w:r>
          </w:p>
        </w:tc>
        <w:tc>
          <w:tcPr>
            <w:tcW w:w="940" w:type="dxa"/>
            <w:vAlign w:val="bottom"/>
          </w:tcPr>
          <w:p>
            <w:pPr>
              <w:spacing w:after="0"/>
              <w:rPr>
                <w:sz w:val="23"/>
                <w:szCs w:val="23"/>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200</w:t>
            </w:r>
          </w:p>
        </w:tc>
        <w:tc>
          <w:tcPr>
            <w:tcW w:w="58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9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800" w:type="dxa"/>
            <w:vAlign w:val="bottom"/>
          </w:tcPr>
          <w:p>
            <w:pPr>
              <w:spacing w:after="0"/>
              <w:rPr>
                <w:sz w:val="23"/>
                <w:szCs w:val="23"/>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(806)</w:t>
            </w:r>
          </w:p>
        </w:tc>
        <w:tc>
          <w:tcPr>
            <w:tcW w:w="940" w:type="dxa"/>
            <w:vAlign w:val="bottom"/>
          </w:tcPr>
          <w:p>
            <w:pPr>
              <w:spacing w:after="0"/>
              <w:rPr>
                <w:sz w:val="23"/>
                <w:szCs w:val="23"/>
                <w:color w:val="auto"/>
              </w:rPr>
            </w:pP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(758)</w:t>
            </w:r>
          </w:p>
        </w:tc>
        <w:tc>
          <w:tcPr>
            <w:tcW w:w="420" w:type="dxa"/>
            <w:vAlign w:val="bottom"/>
          </w:tcPr>
          <w:p>
            <w:pPr>
              <w:spacing w:after="0"/>
              <w:rPr>
                <w:sz w:val="23"/>
                <w:szCs w:val="23"/>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(1,583)</w:t>
            </w:r>
          </w:p>
        </w:tc>
        <w:tc>
          <w:tcPr>
            <w:tcW w:w="5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(1,513)</w:t>
            </w:r>
          </w:p>
        </w:tc>
      </w:tr>
      <w:tr>
        <w:trPr>
          <w:trHeight w:val="276"/>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Investment and other income (loss), net</w:t>
            </w:r>
          </w:p>
        </w:tc>
        <w:tc>
          <w:tcPr>
            <w:tcW w:w="8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77</w:t>
            </w:r>
          </w:p>
        </w:tc>
        <w:tc>
          <w:tcPr>
            <w:tcW w:w="9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99</w:t>
            </w: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203</w:t>
            </w:r>
          </w:p>
        </w:tc>
        <w:tc>
          <w:tcPr>
            <w:tcW w:w="5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229</w:t>
            </w:r>
          </w:p>
        </w:tc>
      </w:tr>
      <w:tr>
        <w:trPr>
          <w:trHeight w:val="277"/>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before income taxes</w:t>
            </w:r>
          </w:p>
        </w:tc>
        <w:tc>
          <w:tcPr>
            <w:tcW w:w="8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4,285</w:t>
            </w:r>
          </w:p>
        </w:tc>
        <w:tc>
          <w:tcPr>
            <w:tcW w:w="9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3,909</w:t>
            </w:r>
          </w:p>
        </w:tc>
        <w:tc>
          <w:tcPr>
            <w:tcW w:w="4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8,279</w:t>
            </w:r>
          </w:p>
        </w:tc>
        <w:tc>
          <w:tcPr>
            <w:tcW w:w="5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7,826</w:t>
            </w:r>
          </w:p>
        </w:tc>
      </w:tr>
    </w:tbl>
    <w:p>
      <w:pPr>
        <w:spacing w:after="0" w:line="49" w:lineRule="exact"/>
        <w:rPr>
          <w:sz w:val="20"/>
          <w:szCs w:val="20"/>
          <w:color w:val="auto"/>
        </w:rPr>
      </w:pPr>
    </w:p>
    <w:p>
      <w:pPr>
        <w:jc w:val="both"/>
        <w:ind w:left="340" w:hanging="332"/>
        <w:spacing w:after="0" w:line="257"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revenue and operating costs and expenses associated with our broadcast of the 2018 PyeongChang Olympics were reported in our Cable Networks and Broadcast Television segments. The revenue and operating costs and expenses associated with our broadcast of the 2018 Super Bowl were reported in our Broadcast Television segment. Included in Eliminations are transactions relating to these events that our Broadcast Television and Cable Networks segments enter into with our other segments.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Revenue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880" w:type="dxa"/>
            <w:vAlign w:val="bottom"/>
          </w:tcPr>
          <w:p>
            <w:pPr>
              <w:spacing w:after="0"/>
              <w:rPr>
                <w:sz w:val="14"/>
                <w:szCs w:val="14"/>
                <w:color w:val="auto"/>
              </w:rPr>
            </w:pPr>
          </w:p>
        </w:tc>
      </w:tr>
      <w:tr>
        <w:trPr>
          <w:trHeight w:val="188"/>
        </w:trPr>
        <w:tc>
          <w:tcPr>
            <w:tcW w:w="5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color w:val="auto"/>
              </w:rPr>
              <w:t>June 30</w:t>
            </w:r>
          </w:p>
        </w:tc>
        <w:tc>
          <w:tcPr>
            <w:tcW w:w="88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rPr>
              <w:t>2018</w:t>
            </w: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color w:val="auto"/>
                <w:w w:val="96"/>
              </w:rPr>
              <w:t>2017</w:t>
            </w: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color w:val="auto"/>
              </w:rPr>
              <w:t>2018</w:t>
            </w: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color w:val="auto"/>
              </w:rPr>
              <w:t>2017</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5260" w:type="dxa"/>
            <w:vAlign w:val="bottom"/>
          </w:tcPr>
          <w:p>
            <w:pPr>
              <w:ind w:left="180"/>
              <w:spacing w:after="0"/>
              <w:rPr>
                <w:sz w:val="20"/>
                <w:szCs w:val="20"/>
                <w:color w:val="auto"/>
              </w:rPr>
            </w:pPr>
            <w:r>
              <w:rPr>
                <w:rFonts w:ascii="Arial" w:cs="Arial" w:eastAsia="Arial" w:hAnsi="Arial"/>
                <w:sz w:val="18"/>
                <w:szCs w:val="18"/>
                <w:color w:val="auto"/>
              </w:rPr>
              <w:t>Video</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5,628</w:t>
            </w:r>
          </w:p>
        </w:tc>
        <w:tc>
          <w:tcPr>
            <w:tcW w:w="6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5,740</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11,287</w:t>
            </w:r>
          </w:p>
        </w:tc>
        <w:tc>
          <w:tcPr>
            <w:tcW w:w="6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11,446</w:t>
            </w:r>
          </w:p>
        </w:tc>
      </w:tr>
      <w:tr>
        <w:trPr>
          <w:trHeight w:val="270"/>
        </w:trPr>
        <w:tc>
          <w:tcPr>
            <w:tcW w:w="5260" w:type="dxa"/>
            <w:vAlign w:val="bottom"/>
          </w:tcPr>
          <w:p>
            <w:pPr>
              <w:ind w:left="180"/>
              <w:spacing w:after="0"/>
              <w:rPr>
                <w:sz w:val="20"/>
                <w:szCs w:val="20"/>
                <w:color w:val="auto"/>
              </w:rPr>
            </w:pPr>
            <w:r>
              <w:rPr>
                <w:rFonts w:ascii="Arial" w:cs="Arial" w:eastAsia="Arial" w:hAnsi="Arial"/>
                <w:sz w:val="18"/>
                <w:szCs w:val="18"/>
                <w:color w:val="auto"/>
              </w:rPr>
              <w:t>High-Speed Internet</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4,262</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3,898</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8,419</w:t>
            </w:r>
          </w:p>
        </w:tc>
        <w:tc>
          <w:tcPr>
            <w:tcW w:w="6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7,740</w:t>
            </w:r>
          </w:p>
        </w:tc>
      </w:tr>
      <w:tr>
        <w:trPr>
          <w:trHeight w:val="270"/>
        </w:trPr>
        <w:tc>
          <w:tcPr>
            <w:tcW w:w="5260" w:type="dxa"/>
            <w:vAlign w:val="bottom"/>
          </w:tcPr>
          <w:p>
            <w:pPr>
              <w:ind w:left="180"/>
              <w:spacing w:after="0"/>
              <w:rPr>
                <w:sz w:val="20"/>
                <w:szCs w:val="20"/>
                <w:color w:val="auto"/>
              </w:rPr>
            </w:pPr>
            <w:r>
              <w:rPr>
                <w:rFonts w:ascii="Arial" w:cs="Arial" w:eastAsia="Arial" w:hAnsi="Arial"/>
                <w:sz w:val="18"/>
                <w:szCs w:val="18"/>
                <w:color w:val="auto"/>
              </w:rPr>
              <w:t>Voice</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994</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1,034</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2,000</w:t>
            </w:r>
          </w:p>
        </w:tc>
        <w:tc>
          <w:tcPr>
            <w:tcW w:w="6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2,068</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Business services</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1,761</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1,585</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3,487</w:t>
            </w:r>
          </w:p>
        </w:tc>
        <w:tc>
          <w:tcPr>
            <w:tcW w:w="6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3,128</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666</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626</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1,248</w:t>
            </w:r>
          </w:p>
        </w:tc>
        <w:tc>
          <w:tcPr>
            <w:tcW w:w="6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1,180</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399</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374</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787</w:t>
            </w:r>
          </w:p>
        </w:tc>
        <w:tc>
          <w:tcPr>
            <w:tcW w:w="6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745</w:t>
            </w:r>
          </w:p>
        </w:tc>
      </w:tr>
      <w:tr>
        <w:trPr>
          <w:trHeight w:val="27"/>
        </w:trPr>
        <w:tc>
          <w:tcPr>
            <w:tcW w:w="5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35"/>
        </w:trPr>
        <w:tc>
          <w:tcPr>
            <w:tcW w:w="5260" w:type="dxa"/>
            <w:vAlign w:val="bottom"/>
          </w:tcPr>
          <w:p>
            <w:pPr>
              <w:ind w:left="40"/>
              <w:spacing w:after="0"/>
              <w:rPr>
                <w:sz w:val="20"/>
                <w:szCs w:val="20"/>
                <w:color w:val="auto"/>
              </w:rPr>
            </w:pPr>
            <w:r>
              <w:rPr>
                <w:rFonts w:ascii="Arial" w:cs="Arial" w:eastAsia="Arial" w:hAnsi="Arial"/>
                <w:sz w:val="18"/>
                <w:szCs w:val="18"/>
                <w:color w:val="auto"/>
              </w:rPr>
              <w:t>Total Cable Communications</w:t>
            </w:r>
            <w:r>
              <w:rPr>
                <w:rFonts w:ascii="Arial" w:cs="Arial" w:eastAsia="Arial" w:hAnsi="Arial"/>
                <w:sz w:val="25"/>
                <w:szCs w:val="25"/>
                <w:color w:val="auto"/>
                <w:vertAlign w:val="superscript"/>
              </w:rPr>
              <w:t>(a)</w:t>
            </w:r>
          </w:p>
        </w:tc>
        <w:tc>
          <w:tcPr>
            <w:tcW w:w="34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13,710</w:t>
            </w:r>
          </w:p>
        </w:tc>
        <w:tc>
          <w:tcPr>
            <w:tcW w:w="640" w:type="dxa"/>
            <w:vAlign w:val="bottom"/>
          </w:tcPr>
          <w:p>
            <w:pPr>
              <w:spacing w:after="0"/>
              <w:rPr>
                <w:sz w:val="24"/>
                <w:szCs w:val="24"/>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13,257</w:t>
            </w:r>
          </w:p>
        </w:tc>
        <w:tc>
          <w:tcPr>
            <w:tcW w:w="44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27,228</w:t>
            </w:r>
          </w:p>
        </w:tc>
        <w:tc>
          <w:tcPr>
            <w:tcW w:w="600" w:type="dxa"/>
            <w:vAlign w:val="bottom"/>
          </w:tcPr>
          <w:p>
            <w:pPr>
              <w:spacing w:after="0"/>
              <w:rPr>
                <w:sz w:val="24"/>
                <w:szCs w:val="24"/>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26,307</w:t>
            </w:r>
          </w:p>
        </w:tc>
      </w:tr>
      <w:tr>
        <w:trPr>
          <w:trHeight w:val="334"/>
        </w:trPr>
        <w:tc>
          <w:tcPr>
            <w:tcW w:w="526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34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1,684</w:t>
            </w:r>
          </w:p>
        </w:tc>
        <w:tc>
          <w:tcPr>
            <w:tcW w:w="640" w:type="dxa"/>
            <w:vAlign w:val="bottom"/>
          </w:tcPr>
          <w:p>
            <w:pPr>
              <w:spacing w:after="0"/>
              <w:rPr>
                <w:sz w:val="24"/>
                <w:szCs w:val="24"/>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1,550</w:t>
            </w:r>
          </w:p>
        </w:tc>
        <w:tc>
          <w:tcPr>
            <w:tcW w:w="44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3,571</w:t>
            </w:r>
          </w:p>
        </w:tc>
        <w:tc>
          <w:tcPr>
            <w:tcW w:w="600" w:type="dxa"/>
            <w:vAlign w:val="bottom"/>
          </w:tcPr>
          <w:p>
            <w:pPr>
              <w:spacing w:after="0"/>
              <w:rPr>
                <w:sz w:val="24"/>
                <w:szCs w:val="24"/>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3,112</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938</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906</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1,926</w:t>
            </w:r>
          </w:p>
        </w:tc>
        <w:tc>
          <w:tcPr>
            <w:tcW w:w="6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1,732</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Content licensing and other</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294</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240</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613</w:t>
            </w:r>
          </w:p>
        </w:tc>
        <w:tc>
          <w:tcPr>
            <w:tcW w:w="6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492</w:t>
            </w:r>
          </w:p>
        </w:tc>
      </w:tr>
      <w:tr>
        <w:trPr>
          <w:trHeight w:val="27"/>
        </w:trPr>
        <w:tc>
          <w:tcPr>
            <w:tcW w:w="5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 Cable Networks</w:t>
            </w:r>
          </w:p>
        </w:tc>
        <w:tc>
          <w:tcPr>
            <w:tcW w:w="340" w:type="dxa"/>
            <w:vAlign w:val="bottom"/>
          </w:tcPr>
          <w:p>
            <w:pPr>
              <w:spacing w:after="0"/>
              <w:rPr>
                <w:sz w:val="20"/>
                <w:szCs w:val="20"/>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2,916</w:t>
            </w:r>
          </w:p>
        </w:tc>
        <w:tc>
          <w:tcPr>
            <w:tcW w:w="640" w:type="dxa"/>
            <w:vAlign w:val="bottom"/>
          </w:tcPr>
          <w:p>
            <w:pPr>
              <w:spacing w:after="0"/>
              <w:rPr>
                <w:sz w:val="20"/>
                <w:szCs w:val="20"/>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2,696</w:t>
            </w:r>
          </w:p>
        </w:tc>
        <w:tc>
          <w:tcPr>
            <w:tcW w:w="440" w:type="dxa"/>
            <w:vAlign w:val="bottom"/>
          </w:tcPr>
          <w:p>
            <w:pPr>
              <w:spacing w:after="0"/>
              <w:rPr>
                <w:sz w:val="20"/>
                <w:szCs w:val="20"/>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6,110</w:t>
            </w:r>
          </w:p>
        </w:tc>
        <w:tc>
          <w:tcPr>
            <w:tcW w:w="60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5,336</w:t>
            </w:r>
          </w:p>
        </w:tc>
      </w:tr>
      <w:tr>
        <w:trPr>
          <w:trHeight w:val="432"/>
        </w:trPr>
        <w:tc>
          <w:tcPr>
            <w:tcW w:w="526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1,387</w:t>
            </w:r>
          </w:p>
        </w:tc>
        <w:tc>
          <w:tcPr>
            <w:tcW w:w="640" w:type="dxa"/>
            <w:vAlign w:val="bottom"/>
          </w:tcPr>
          <w:p>
            <w:pPr>
              <w:spacing w:after="0"/>
              <w:rPr>
                <w:sz w:val="24"/>
                <w:szCs w:val="24"/>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1,270</w:t>
            </w:r>
          </w:p>
        </w:tc>
        <w:tc>
          <w:tcPr>
            <w:tcW w:w="44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3,752</w:t>
            </w:r>
          </w:p>
        </w:tc>
        <w:tc>
          <w:tcPr>
            <w:tcW w:w="600" w:type="dxa"/>
            <w:vAlign w:val="bottom"/>
          </w:tcPr>
          <w:p>
            <w:pPr>
              <w:spacing w:after="0"/>
              <w:rPr>
                <w:sz w:val="24"/>
                <w:szCs w:val="24"/>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2,549</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481</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523</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1,003</w:t>
            </w:r>
          </w:p>
        </w:tc>
        <w:tc>
          <w:tcPr>
            <w:tcW w:w="6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1,026</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Distribution and other</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523</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448</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1,133</w:t>
            </w:r>
          </w:p>
        </w:tc>
        <w:tc>
          <w:tcPr>
            <w:tcW w:w="6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874</w:t>
            </w:r>
          </w:p>
        </w:tc>
      </w:tr>
      <w:tr>
        <w:trPr>
          <w:trHeight w:val="27"/>
        </w:trPr>
        <w:tc>
          <w:tcPr>
            <w:tcW w:w="5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 Broadcast Television</w:t>
            </w:r>
          </w:p>
        </w:tc>
        <w:tc>
          <w:tcPr>
            <w:tcW w:w="340" w:type="dxa"/>
            <w:vAlign w:val="bottom"/>
          </w:tcPr>
          <w:p>
            <w:pPr>
              <w:spacing w:after="0"/>
              <w:rPr>
                <w:sz w:val="20"/>
                <w:szCs w:val="20"/>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2,391</w:t>
            </w:r>
          </w:p>
        </w:tc>
        <w:tc>
          <w:tcPr>
            <w:tcW w:w="640" w:type="dxa"/>
            <w:vAlign w:val="bottom"/>
          </w:tcPr>
          <w:p>
            <w:pPr>
              <w:spacing w:after="0"/>
              <w:rPr>
                <w:sz w:val="20"/>
                <w:szCs w:val="20"/>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2,241</w:t>
            </w:r>
          </w:p>
        </w:tc>
        <w:tc>
          <w:tcPr>
            <w:tcW w:w="440" w:type="dxa"/>
            <w:vAlign w:val="bottom"/>
          </w:tcPr>
          <w:p>
            <w:pPr>
              <w:spacing w:after="0"/>
              <w:rPr>
                <w:sz w:val="20"/>
                <w:szCs w:val="20"/>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5,888</w:t>
            </w:r>
          </w:p>
        </w:tc>
        <w:tc>
          <w:tcPr>
            <w:tcW w:w="60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4,449</w:t>
            </w:r>
          </w:p>
        </w:tc>
      </w:tr>
      <w:tr>
        <w:trPr>
          <w:trHeight w:val="432"/>
        </w:trPr>
        <w:tc>
          <w:tcPr>
            <w:tcW w:w="5260" w:type="dxa"/>
            <w:vAlign w:val="bottom"/>
          </w:tcPr>
          <w:p>
            <w:pPr>
              <w:ind w:left="40"/>
              <w:spacing w:after="0"/>
              <w:rPr>
                <w:sz w:val="20"/>
                <w:szCs w:val="20"/>
                <w:color w:val="auto"/>
              </w:rPr>
            </w:pPr>
            <w:r>
              <w:rPr>
                <w:rFonts w:ascii="Arial" w:cs="Arial" w:eastAsia="Arial" w:hAnsi="Arial"/>
                <w:sz w:val="18"/>
                <w:szCs w:val="18"/>
                <w:color w:val="auto"/>
              </w:rPr>
              <w:t>Theatrical</w:t>
            </w:r>
          </w:p>
        </w:tc>
        <w:tc>
          <w:tcPr>
            <w:tcW w:w="34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540</w:t>
            </w:r>
          </w:p>
        </w:tc>
        <w:tc>
          <w:tcPr>
            <w:tcW w:w="640" w:type="dxa"/>
            <w:vAlign w:val="bottom"/>
          </w:tcPr>
          <w:p>
            <w:pPr>
              <w:spacing w:after="0"/>
              <w:rPr>
                <w:sz w:val="24"/>
                <w:szCs w:val="24"/>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837</w:t>
            </w:r>
          </w:p>
        </w:tc>
        <w:tc>
          <w:tcPr>
            <w:tcW w:w="44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963</w:t>
            </w:r>
          </w:p>
        </w:tc>
        <w:tc>
          <w:tcPr>
            <w:tcW w:w="600" w:type="dxa"/>
            <w:vAlign w:val="bottom"/>
          </w:tcPr>
          <w:p>
            <w:pPr>
              <w:spacing w:after="0"/>
              <w:rPr>
                <w:sz w:val="24"/>
                <w:szCs w:val="24"/>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1,488</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648</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684</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1,381</w:t>
            </w:r>
          </w:p>
        </w:tc>
        <w:tc>
          <w:tcPr>
            <w:tcW w:w="6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1,418</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Home entertainment</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225</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334</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473</w:t>
            </w:r>
          </w:p>
        </w:tc>
        <w:tc>
          <w:tcPr>
            <w:tcW w:w="6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620</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297</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287</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540</w:t>
            </w:r>
          </w:p>
        </w:tc>
        <w:tc>
          <w:tcPr>
            <w:tcW w:w="6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583</w:t>
            </w:r>
          </w:p>
        </w:tc>
      </w:tr>
      <w:tr>
        <w:trPr>
          <w:trHeight w:val="27"/>
        </w:trPr>
        <w:tc>
          <w:tcPr>
            <w:tcW w:w="5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 Filmed Entertainment</w:t>
            </w:r>
          </w:p>
        </w:tc>
        <w:tc>
          <w:tcPr>
            <w:tcW w:w="340" w:type="dxa"/>
            <w:vAlign w:val="bottom"/>
          </w:tcPr>
          <w:p>
            <w:pPr>
              <w:spacing w:after="0"/>
              <w:rPr>
                <w:sz w:val="20"/>
                <w:szCs w:val="20"/>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1,710</w:t>
            </w:r>
          </w:p>
        </w:tc>
        <w:tc>
          <w:tcPr>
            <w:tcW w:w="640" w:type="dxa"/>
            <w:vAlign w:val="bottom"/>
          </w:tcPr>
          <w:p>
            <w:pPr>
              <w:spacing w:after="0"/>
              <w:rPr>
                <w:sz w:val="20"/>
                <w:szCs w:val="20"/>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2,142</w:t>
            </w:r>
          </w:p>
        </w:tc>
        <w:tc>
          <w:tcPr>
            <w:tcW w:w="440" w:type="dxa"/>
            <w:vAlign w:val="bottom"/>
          </w:tcPr>
          <w:p>
            <w:pPr>
              <w:spacing w:after="0"/>
              <w:rPr>
                <w:sz w:val="20"/>
                <w:szCs w:val="20"/>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3,357</w:t>
            </w:r>
          </w:p>
        </w:tc>
        <w:tc>
          <w:tcPr>
            <w:tcW w:w="60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4,109</w:t>
            </w:r>
          </w:p>
        </w:tc>
      </w:tr>
      <w:tr>
        <w:trPr>
          <w:trHeight w:val="432"/>
        </w:trPr>
        <w:tc>
          <w:tcPr>
            <w:tcW w:w="5260" w:type="dxa"/>
            <w:vAlign w:val="bottom"/>
          </w:tcPr>
          <w:p>
            <w:pPr>
              <w:ind w:left="40"/>
              <w:spacing w:after="0"/>
              <w:rPr>
                <w:sz w:val="20"/>
                <w:szCs w:val="20"/>
                <w:color w:val="auto"/>
              </w:rPr>
            </w:pPr>
            <w:r>
              <w:rPr>
                <w:rFonts w:ascii="Arial" w:cs="Arial" w:eastAsia="Arial" w:hAnsi="Arial"/>
                <w:sz w:val="18"/>
                <w:szCs w:val="18"/>
                <w:color w:val="auto"/>
              </w:rPr>
              <w:t>Total Theme Parks</w:t>
            </w:r>
          </w:p>
        </w:tc>
        <w:tc>
          <w:tcPr>
            <w:tcW w:w="34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1,361</w:t>
            </w:r>
          </w:p>
        </w:tc>
        <w:tc>
          <w:tcPr>
            <w:tcW w:w="640" w:type="dxa"/>
            <w:vAlign w:val="bottom"/>
          </w:tcPr>
          <w:p>
            <w:pPr>
              <w:spacing w:after="0"/>
              <w:rPr>
                <w:sz w:val="24"/>
                <w:szCs w:val="24"/>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1,314</w:t>
            </w:r>
          </w:p>
        </w:tc>
        <w:tc>
          <w:tcPr>
            <w:tcW w:w="44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2,642</w:t>
            </w:r>
          </w:p>
        </w:tc>
        <w:tc>
          <w:tcPr>
            <w:tcW w:w="600" w:type="dxa"/>
            <w:vAlign w:val="bottom"/>
          </w:tcPr>
          <w:p>
            <w:pPr>
              <w:spacing w:after="0"/>
              <w:rPr>
                <w:sz w:val="24"/>
                <w:szCs w:val="24"/>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2,432</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Headquarters and Other</w:t>
            </w:r>
          </w:p>
        </w:tc>
        <w:tc>
          <w:tcPr>
            <w:tcW w:w="340" w:type="dxa"/>
            <w:vAlign w:val="bottom"/>
          </w:tcPr>
          <w:p>
            <w:pPr>
              <w:spacing w:after="0"/>
              <w:rPr>
                <w:sz w:val="23"/>
                <w:szCs w:val="23"/>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15</w:t>
            </w:r>
          </w:p>
        </w:tc>
        <w:tc>
          <w:tcPr>
            <w:tcW w:w="64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23"/>
                <w:szCs w:val="23"/>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29</w:t>
            </w:r>
          </w:p>
        </w:tc>
        <w:tc>
          <w:tcPr>
            <w:tcW w:w="6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17</w:t>
            </w:r>
          </w:p>
        </w:tc>
      </w:tr>
      <w:tr>
        <w:trPr>
          <w:trHeight w:val="297"/>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(80)</w:t>
            </w:r>
          </w:p>
        </w:tc>
        <w:tc>
          <w:tcPr>
            <w:tcW w:w="6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(84)</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(183)</w:t>
            </w:r>
          </w:p>
        </w:tc>
        <w:tc>
          <w:tcPr>
            <w:tcW w:w="6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 NBCUniversal</w:t>
            </w:r>
          </w:p>
        </w:tc>
        <w:tc>
          <w:tcPr>
            <w:tcW w:w="340" w:type="dxa"/>
            <w:vAlign w:val="bottom"/>
          </w:tcPr>
          <w:p>
            <w:pPr>
              <w:spacing w:after="0"/>
              <w:rPr>
                <w:sz w:val="20"/>
                <w:szCs w:val="20"/>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8,313</w:t>
            </w:r>
          </w:p>
        </w:tc>
        <w:tc>
          <w:tcPr>
            <w:tcW w:w="640" w:type="dxa"/>
            <w:vAlign w:val="bottom"/>
          </w:tcPr>
          <w:p>
            <w:pPr>
              <w:spacing w:after="0"/>
              <w:rPr>
                <w:sz w:val="20"/>
                <w:szCs w:val="20"/>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8,318</w:t>
            </w:r>
          </w:p>
        </w:tc>
        <w:tc>
          <w:tcPr>
            <w:tcW w:w="440" w:type="dxa"/>
            <w:vAlign w:val="bottom"/>
          </w:tcPr>
          <w:p>
            <w:pPr>
              <w:spacing w:after="0"/>
              <w:rPr>
                <w:sz w:val="20"/>
                <w:szCs w:val="20"/>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17,843</w:t>
            </w:r>
          </w:p>
        </w:tc>
        <w:tc>
          <w:tcPr>
            <w:tcW w:w="60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16,171</w:t>
            </w:r>
          </w:p>
        </w:tc>
      </w:tr>
      <w:tr>
        <w:trPr>
          <w:trHeight w:val="432"/>
        </w:trPr>
        <w:tc>
          <w:tcPr>
            <w:tcW w:w="526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34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255</w:t>
            </w:r>
          </w:p>
        </w:tc>
        <w:tc>
          <w:tcPr>
            <w:tcW w:w="640" w:type="dxa"/>
            <w:vAlign w:val="bottom"/>
          </w:tcPr>
          <w:p>
            <w:pPr>
              <w:spacing w:after="0"/>
              <w:rPr>
                <w:sz w:val="24"/>
                <w:szCs w:val="24"/>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205</w:t>
            </w:r>
          </w:p>
        </w:tc>
        <w:tc>
          <w:tcPr>
            <w:tcW w:w="44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646</w:t>
            </w:r>
          </w:p>
        </w:tc>
        <w:tc>
          <w:tcPr>
            <w:tcW w:w="600" w:type="dxa"/>
            <w:vAlign w:val="bottom"/>
          </w:tcPr>
          <w:p>
            <w:pPr>
              <w:spacing w:after="0"/>
              <w:rPr>
                <w:sz w:val="24"/>
                <w:szCs w:val="24"/>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413</w:t>
            </w:r>
          </w:p>
        </w:tc>
      </w:tr>
      <w:tr>
        <w:trPr>
          <w:trHeight w:val="297"/>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(543)</w:t>
            </w:r>
          </w:p>
        </w:tc>
        <w:tc>
          <w:tcPr>
            <w:tcW w:w="6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(494)</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(1,191)</w:t>
            </w:r>
          </w:p>
        </w:tc>
        <w:tc>
          <w:tcPr>
            <w:tcW w:w="6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32"/>
              <w:spacing w:after="0"/>
              <w:rPr>
                <w:sz w:val="20"/>
                <w:szCs w:val="20"/>
                <w:color w:val="auto"/>
              </w:rPr>
            </w:pPr>
            <w:r>
              <w:rPr>
                <w:rFonts w:ascii="Arial" w:cs="Arial" w:eastAsia="Arial" w:hAnsi="Arial"/>
                <w:sz w:val="18"/>
                <w:szCs w:val="18"/>
                <w:b w:val="1"/>
                <w:bCs w:val="1"/>
                <w:color w:val="auto"/>
              </w:rPr>
              <w:t>21,735</w:t>
            </w:r>
          </w:p>
        </w:tc>
        <w:tc>
          <w:tcPr>
            <w:tcW w:w="64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1"/>
              <w:spacing w:after="0"/>
              <w:rPr>
                <w:sz w:val="20"/>
                <w:szCs w:val="20"/>
                <w:color w:val="auto"/>
              </w:rPr>
            </w:pPr>
            <w:r>
              <w:rPr>
                <w:rFonts w:ascii="Arial" w:cs="Arial" w:eastAsia="Arial" w:hAnsi="Arial"/>
                <w:sz w:val="18"/>
                <w:szCs w:val="18"/>
                <w:b w:val="1"/>
                <w:bCs w:val="1"/>
                <w:color w:val="auto"/>
              </w:rPr>
              <w:t>21,286</w:t>
            </w:r>
          </w:p>
        </w:tc>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12"/>
              <w:spacing w:after="0"/>
              <w:rPr>
                <w:sz w:val="20"/>
                <w:szCs w:val="20"/>
                <w:color w:val="auto"/>
              </w:rPr>
            </w:pPr>
            <w:r>
              <w:rPr>
                <w:rFonts w:ascii="Arial" w:cs="Arial" w:eastAsia="Arial" w:hAnsi="Arial"/>
                <w:sz w:val="18"/>
                <w:szCs w:val="18"/>
                <w:b w:val="1"/>
                <w:bCs w:val="1"/>
                <w:color w:val="auto"/>
              </w:rPr>
              <w:t>44,526</w:t>
            </w:r>
          </w:p>
        </w:tc>
        <w:tc>
          <w:tcPr>
            <w:tcW w:w="60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41,873</w:t>
            </w:r>
          </w:p>
        </w:tc>
      </w:tr>
      <w:tr>
        <w:trPr>
          <w:trHeight w:val="34"/>
        </w:trPr>
        <w:tc>
          <w:tcPr>
            <w:tcW w:w="5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57" w:lineRule="exact"/>
        <w:rPr>
          <w:sz w:val="20"/>
          <w:szCs w:val="20"/>
          <w:color w:val="auto"/>
        </w:rPr>
      </w:pPr>
    </w:p>
    <w:p>
      <w:pPr>
        <w:ind w:left="340" w:hanging="332"/>
        <w:spacing w:after="0" w:line="273"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 both the three and six months ended June 30, 2018, 2.7% of Cable Communications segment revenue was derived from franchise and other regulatory fees. For both the three and six months ended June 30, 2017, 2.8% of Cable Communications segment revenue was derived from franchise and other regulatory fees.</w:t>
      </w:r>
    </w:p>
    <w:p>
      <w:pPr>
        <w:spacing w:after="0" w:line="79"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See Note 2 for a description of these transactions.</w:t>
      </w:r>
    </w:p>
    <w:p>
      <w:pPr>
        <w:spacing w:after="0" w:line="16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operate primarily in the United States, but also in select international markets primarily in Europe and Asia. The table below summarizes revenue by geographic location.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880" w:type="dxa"/>
            <w:vAlign w:val="bottom"/>
          </w:tcPr>
          <w:p>
            <w:pPr>
              <w:spacing w:after="0"/>
              <w:rPr>
                <w:sz w:val="14"/>
                <w:szCs w:val="14"/>
                <w:color w:val="auto"/>
              </w:rPr>
            </w:pPr>
          </w:p>
        </w:tc>
      </w:tr>
      <w:tr>
        <w:trPr>
          <w:trHeight w:val="188"/>
        </w:trPr>
        <w:tc>
          <w:tcPr>
            <w:tcW w:w="5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color w:val="auto"/>
                <w:w w:val="88"/>
              </w:rPr>
              <w:t>June 30</w:t>
            </w:r>
          </w:p>
        </w:tc>
        <w:tc>
          <w:tcPr>
            <w:tcW w:w="9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color w:val="auto"/>
                <w:w w:val="84"/>
              </w:rPr>
              <w:t>June 30</w:t>
            </w:r>
          </w:p>
        </w:tc>
        <w:tc>
          <w:tcPr>
            <w:tcW w:w="88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color w:val="auto"/>
              </w:rPr>
              <w:t>2018</w:t>
            </w:r>
          </w:p>
        </w:tc>
        <w:tc>
          <w:tcPr>
            <w:tcW w:w="8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w w:val="96"/>
              </w:rPr>
              <w:t>2017</w:t>
            </w: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color w:val="auto"/>
              </w:rPr>
              <w:t>2018</w:t>
            </w:r>
          </w:p>
        </w:tc>
        <w:tc>
          <w:tcPr>
            <w:tcW w:w="8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rPr>
              <w:t>2017</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19,931</w:t>
            </w:r>
          </w:p>
        </w:tc>
        <w:tc>
          <w:tcPr>
            <w:tcW w:w="860" w:type="dxa"/>
            <w:vAlign w:val="bottom"/>
          </w:tcPr>
          <w:p>
            <w:pPr>
              <w:jc w:val="right"/>
              <w:ind w:right="29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19,073</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40,816</w:t>
            </w:r>
          </w:p>
        </w:tc>
        <w:tc>
          <w:tcPr>
            <w:tcW w:w="8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37,905</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1,804</w:t>
            </w:r>
          </w:p>
        </w:tc>
        <w:tc>
          <w:tcPr>
            <w:tcW w:w="860" w:type="dxa"/>
            <w:vAlign w:val="bottom"/>
          </w:tcPr>
          <w:p>
            <w:pPr>
              <w:spacing w:after="0"/>
              <w:rPr>
                <w:sz w:val="23"/>
                <w:szCs w:val="23"/>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2,213</w:t>
            </w:r>
          </w:p>
        </w:tc>
        <w:tc>
          <w:tcPr>
            <w:tcW w:w="4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3,710</w:t>
            </w:r>
          </w:p>
        </w:tc>
        <w:tc>
          <w:tcPr>
            <w:tcW w:w="800" w:type="dxa"/>
            <w:vAlign w:val="bottom"/>
          </w:tcPr>
          <w:p>
            <w:pPr>
              <w:spacing w:after="0"/>
              <w:rPr>
                <w:sz w:val="23"/>
                <w:szCs w:val="23"/>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3,968</w:t>
            </w:r>
          </w:p>
        </w:tc>
      </w:tr>
      <w:tr>
        <w:trPr>
          <w:trHeight w:val="27"/>
        </w:trPr>
        <w:tc>
          <w:tcPr>
            <w:tcW w:w="5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21,735</w:t>
            </w:r>
          </w:p>
        </w:tc>
        <w:tc>
          <w:tcPr>
            <w:tcW w:w="860" w:type="dxa"/>
            <w:vAlign w:val="bottom"/>
          </w:tcPr>
          <w:p>
            <w:pPr>
              <w:jc w:val="right"/>
              <w:ind w:right="296"/>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74"/>
              <w:spacing w:after="0"/>
              <w:rPr>
                <w:sz w:val="20"/>
                <w:szCs w:val="20"/>
                <w:color w:val="auto"/>
              </w:rPr>
            </w:pPr>
            <w:r>
              <w:rPr>
                <w:rFonts w:ascii="Arial" w:cs="Arial" w:eastAsia="Arial" w:hAnsi="Arial"/>
                <w:sz w:val="18"/>
                <w:szCs w:val="18"/>
                <w:b w:val="1"/>
                <w:bCs w:val="1"/>
                <w:color w:val="auto"/>
              </w:rPr>
              <w:t>21,286</w:t>
            </w:r>
          </w:p>
        </w:tc>
        <w:tc>
          <w:tcPr>
            <w:tcW w:w="4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44,526</w:t>
            </w:r>
          </w:p>
        </w:tc>
        <w:tc>
          <w:tcPr>
            <w:tcW w:w="800" w:type="dxa"/>
            <w:vAlign w:val="bottom"/>
          </w:tcPr>
          <w:p>
            <w:pPr>
              <w:jc w:val="right"/>
              <w:ind w:right="276"/>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4"/>
              <w:spacing w:after="0"/>
              <w:rPr>
                <w:sz w:val="20"/>
                <w:szCs w:val="20"/>
                <w:color w:val="auto"/>
              </w:rPr>
            </w:pPr>
            <w:r>
              <w:rPr>
                <w:rFonts w:ascii="Arial" w:cs="Arial" w:eastAsia="Arial" w:hAnsi="Arial"/>
                <w:sz w:val="18"/>
                <w:szCs w:val="18"/>
                <w:b w:val="1"/>
                <w:bCs w:val="1"/>
                <w:color w:val="auto"/>
              </w:rPr>
              <w:t>41,873</w:t>
            </w:r>
          </w:p>
        </w:tc>
      </w:tr>
      <w:tr>
        <w:trPr>
          <w:trHeight w:val="34"/>
        </w:trPr>
        <w:tc>
          <w:tcPr>
            <w:tcW w:w="5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 single customer accounted for a significant amount of revenue in any period presented.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Residential</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Cable Communications segment generates revenue from residential customers subscribing to our video, high-speed Internet, voice, and security and automation services, which we market individually and as bundled services at a discounted rate in the</w:t>
      </w:r>
    </w:p>
    <w:p>
      <w:pPr>
        <w:sectPr>
          <w:pgSz w:w="11900" w:h="16838" w:orient="portrait"/>
          <w:cols w:equalWidth="0" w:num="1">
            <w:col w:w="11420"/>
          </w:cols>
          <w:pgMar w:left="240" w:top="121" w:right="239" w:bottom="165" w:gutter="0" w:footer="0" w:header="0"/>
        </w:sect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1" w:right="239" w:bottom="165"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United States. Revenue from residential customers that purchase bundled services at a discounted rate is allocated between the separate services based on the respective stand-alone selling prices. The stand-alone selling prices are determined based on the current prices at which we separately sell the cable services. Significant judgment is used to determine performance obligations that should be accounted for separately and the allocation of revenue when services are combined in a bundle. Revenue related to our security and automation services is reported in other revenue.</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recognize revenue from residential cable services as the services are provided on a monthly basis. Subscription rates and related charges vary according to the services and features customers receive. Customers are typically billed in advance and pay on a monthly basis. Installation fees are deferred and recognized as revenue over the period of benefit to the customer, which is less than a year for residential customers. While a portion of our residential customers are subject to contracts for their cable services, which are typically 2 years in length, based on our evaluation of the terms of these contracts, we recognize revenue for these cable services on a basis that is consistent with our customers that are not subject to contracts. Our cable services generally involve customer premise equipment, such as set-top boxes, cable modems and wireless gateways. The timing and pattern of recognition for customer premise equipment revenue are consistent with those of our residential cable services. Sales commissions related to our residential customers are expensed as incurred, as the related period of benefit is less than a year.</w:t>
      </w:r>
    </w:p>
    <w:p>
      <w:pPr>
        <w:spacing w:after="0" w:line="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terms of our cable franchise agreements, we are generally required to pay the cable franchising authority an amount based on our gross video revenue. We generally pass these and other similar fees through to our cable services customers and classify these fees in the respective cable service revenue, with the corresponding costs included in other operating and administrative expenses.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Services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Cable Communications segment generates revenue from business customers subscribing to a variety of products and services. Our small business services offerings primarily include high-speed Internet services, as well as voice and video services, similar to those that we provide to our residential customers, and also include cloud-based solutions that provide file sharing, online backup and web conferencing, among other features. We also offer Ethernet network services that connect multiple locations and provide higher downstream and upstream speed options to medium-sized customers and larger enterprises, as well as advanced voice services. In addition, we provide cellular backhaul services to mobile network operators to help these customers manage their network bandwidth.</w:t>
      </w:r>
    </w:p>
    <w:p>
      <w:pPr>
        <w:spacing w:after="0" w:line="4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Recently, we have expanded our enterprise service offerings to include a software-defined networking product and our managed solutions business to offer enterprise customers support related to Wi-Fi networks, router management, network security, business continuity risks and other services. We primarily offer our enterprise service offerings to Fortune 1000 companies and other large enterprises with multiple locations both within and outside of our cable distribution footprint where we have agreements with other companies to use their networks to provide coverage.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recognize revenue from business services as the services are provided on a monthly basis. Substantially all of our business customers are initially under contracts, with terms typically ranging from 2 years for small and medium-sized businesses to up to 5 years for larger enterprises. At any given time, the amount of future revenue to be earned related to fixed pricing under existing agreements is equal to approximately half of our annual business services revenue, of which the substantial majority will be recognized within 2 years. Customers with contracts may only discontinue service in accordance with the terms of their contracts. We receive payments from business customers based on a billing schedule established in our contracts, which is typically on a monthly basis. Installation revenue related to our business services customers and sales commissions are generally deferred and recognized over the respective contract terms.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Cable Communications segment generates revenue from the sale of advertising and from our advanced advertising business. As part of our distribution agreements with cable networks, we generally receive an allocation of scheduled advertising time on cable networks that we sell to local, regional and national advertisers. In most cases, the available advertising units are sold by our sales force. We also represent the advertising sales efforts of other multichannel video providers in some markets. Since we are acting as the principal in these arrangements, we record the advertising that is sold in advertising revenue and the fees paid to multichannel video providers in other operating and administrative expenses. In some cases, we work with representation firms as an extension of our sales force to sell a portion of the advertising units allocated to us and record the revenue net of agency commissions. In addition, we generate revenue from the sale of advertising online and on our On Demand service. We enter into advertising arrangements with customers and have determined that a contract exists once all terms and conditions are agreed upon, typically when the number of advertising units is specifically identified and the timing of airing is scheduled. Advertisements are generally aired or viewed within one year once all terms and conditions are agreed upon. Advertising revenue is recognized in the period in which advertisements are aired or viewed. Payment terms vary by contract, although terms generally require payment within 30 to 60 days from when advertisements are aired or viewed. Our advanced advertising business provide technology, tools,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marketplace solutions and data-driven insights to various customers in the media industry to more effectively engage with their targeted audiences. Revenue earned from our advanced advertising business is recognized when services are provided.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Cable Networks segment generates distribution revenue from the distribution of our cable network programming to traditional and virtual multichannel video providers. Our Broadcast Television segment generates distribution revenue from the fees received under retransmission consent agreements and associated fees received from NBC-affiliated local broadcast television stations.</w:t>
      </w:r>
    </w:p>
    <w:p>
      <w:pPr>
        <w:spacing w:after="0" w:line="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Distribution revenue is recognized as programming is provided on a monthly basis, generally under multiyear agreements. Monthly fees received under distribution agreements with multichannel video providers are generally based on the number of subscribers. Payment terms and conditions vary by contract type, although terms generally include payment within 30 to 60 days.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Cable Networks and Broadcast Television segments generate advertising revenue from the sale of advertising on our cable and broadcast networks, our owned local broadcast television stations, and various digital properties.</w:t>
      </w:r>
    </w:p>
    <w:p>
      <w:pPr>
        <w:spacing w:after="0" w:line="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enter into advertising arrangements with customers and have determined that a contract exists once all terms and conditions are agreed upon, typically when the number of advertising units is specifically identified and the timing of airing is scheduled. Advertisements are generally aired or viewed within one year once all terms are agreed upon. Advertising revenue is recognized, net of agency commissions, in the period in which advertisements are aired or viewed and payment occurs thereafter, generally within 30 days. In some instances, we guarantee audience ratings for the advertisements. To the extent there is a shortfall in contracts where the ratings were guaranteed, a portion of the revenue is deferred until the shortfall is settled, typically by providing additional advertising units generally within one year of the original airing.</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Theatrical</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Filmed Entertainment segment theatrical revenue is generated from the worldwide theatrical release of our produced and acquired films for exhibition in movie theaters and is affected by the timing, nature and number of films released in movie theaters and their acceptance by audiences. Theatrical revenue is also affected by the number of exhibition screens, ticket prices, the percentage of ticket sale retention by the exhibitors and the popularity of competing films at the time our films are released. We recognize theatrical revenue as the films are viewed and exhibited in theaters and payment generally occurs within 60 days after exhibition.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Content Licensing</w:t>
      </w:r>
    </w:p>
    <w:p>
      <w:pPr>
        <w:spacing w:after="0" w:line="1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Cable Networks, Broadcast Television and Filmed Entertainment segments generate revenue from the licensing of our owned film and television content in the United States and internationally to cable, broadcast and premium networks and subscription video on demand services. Our content licensing agreements generally include fixed pricing and span multiple years. For example, following a film’s theatrical release, our Filmed Entertainment segment may license the exhibition rights of a film to different customers over multiple successive distribution windows.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recognize revenue when the content is delivered and available for use by the licensee. When the term of an existing agreement is renewed or extended, we recognize revenue at the later of when the content is available or when the renewal or extension period begins. Payment terms and conditions vary by contract type, although payments are generally collected over the license term. The amount of future revenue to be earned related to fixed pricing under existing agreements primarily relates to our Filmed Entertainment segment, which at any given time equals approximately 1 to 2 years of our annual Filmed Entertainment content licensing revenue. The substantial majority of this revenue will be recognized within 2 years. This amount may fluctuate from period to period depending on the timing of the release and the availability of content under existing agreements and may not represent the total content licensing revenue expected to be recognized as it does not include revenue from future agreements or from variable pricing or optional purchases under existing agreements.</w:t>
      </w:r>
    </w:p>
    <w:p>
      <w:pPr>
        <w:spacing w:after="0" w:line="4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our content licensing agreements that also include variable pricing, such as pricing based on the number of subscribers to a subscription video on demand service, we generally recognize revenue for variable pricing as the content is delivered and available and as the variable amounts become known.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Entertainment</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Filmed Entertainment segment generates revenue from the sale of our produced and acquired films on standard-definition digital video discs and Blu-ray discs (together, “DVDs”) and through digital distribution services. Our Cable Networks and Broadcast Television networks also generate revenue from the sale of owned programming on DVDs and through digital distribution services, which is reported in other revenue. We recognize revenue from DVD sales, net of estimated returns and customer incentives, on the date that DVDs are delivered to and made available for sale by retailers. Payment terms generally include payment within 60 to 90 days from delivery to the retailer.</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Theme Parks</w:t>
      </w:r>
    </w:p>
    <w:p>
      <w:pPr>
        <w:spacing w:after="0" w:line="12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Theme Parks segment generates revenue primarily from ticket sales and guest spending at our Universal theme parks in Orlando, Florida; Hollywood, California; and Osaka, Japan. Guest spending includes in-park spending on food, beverages and merchandise. We recognize revenue from theme park ticket sales when the tickets are used, generally within a year from the date of purchase. For annual passes, we generally recognize revenue on a straight-line basis over the period the pass is available to be used. We recognize revenue from guest spending at the point of sale.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8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tables summarize our accounts receivable and other balances that are not separately presented in our condensed consolidated balance sheet that relate to the recognition of revenue and collection of the related cash, as well as deferred costs associated with our contracts with customers.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2100" w:type="dxa"/>
            <w:vAlign w:val="bottom"/>
          </w:tcPr>
          <w:p>
            <w:pPr>
              <w:jc w:val="center"/>
              <w:ind w:left="1498"/>
              <w:spacing w:after="0"/>
              <w:rPr>
                <w:sz w:val="20"/>
                <w:szCs w:val="20"/>
                <w:color w:val="auto"/>
              </w:rPr>
            </w:pPr>
            <w:r>
              <w:rPr>
                <w:rFonts w:ascii="Arial" w:cs="Arial" w:eastAsia="Arial" w:hAnsi="Arial"/>
                <w:sz w:val="14"/>
                <w:szCs w:val="14"/>
                <w:color w:val="auto"/>
                <w:w w:val="89"/>
              </w:rPr>
              <w:t>June 30,</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center"/>
              <w:ind w:right="177"/>
              <w:spacing w:after="0"/>
              <w:rPr>
                <w:sz w:val="20"/>
                <w:szCs w:val="20"/>
                <w:color w:val="auto"/>
              </w:rPr>
            </w:pPr>
            <w:r>
              <w:rPr>
                <w:rFonts w:ascii="Arial" w:cs="Arial" w:eastAsia="Arial" w:hAnsi="Arial"/>
                <w:sz w:val="14"/>
                <w:szCs w:val="14"/>
                <w:color w:val="auto"/>
                <w:w w:val="90"/>
              </w:rPr>
              <w:t>December 31,</w:t>
            </w:r>
          </w:p>
        </w:tc>
      </w:tr>
      <w:tr>
        <w:trPr>
          <w:trHeight w:val="188"/>
        </w:trPr>
        <w:tc>
          <w:tcPr>
            <w:tcW w:w="7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100" w:type="dxa"/>
            <w:vAlign w:val="bottom"/>
            <w:tcBorders>
              <w:bottom w:val="single" w:sz="8" w:color="auto"/>
            </w:tcBorders>
          </w:tcPr>
          <w:p>
            <w:pPr>
              <w:jc w:val="center"/>
              <w:ind w:left="1538"/>
              <w:spacing w:after="0"/>
              <w:rPr>
                <w:sz w:val="20"/>
                <w:szCs w:val="20"/>
                <w:color w:val="auto"/>
              </w:rPr>
            </w:pPr>
            <w:r>
              <w:rPr>
                <w:rFonts w:ascii="Arial" w:cs="Arial" w:eastAsia="Arial" w:hAnsi="Arial"/>
                <w:sz w:val="14"/>
                <w:szCs w:val="14"/>
                <w:color w:val="auto"/>
                <w:w w:val="89"/>
              </w:rPr>
              <w:t>2018</w:t>
            </w:r>
          </w:p>
        </w:tc>
        <w:tc>
          <w:tcPr>
            <w:tcW w:w="5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color w:val="auto"/>
                <w:w w:val="89"/>
              </w:rPr>
              <w:t>2017</w:t>
            </w: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Receivables, gross</w:t>
            </w:r>
          </w:p>
        </w:tc>
        <w:tc>
          <w:tcPr>
            <w:tcW w:w="2100" w:type="dxa"/>
            <w:vAlign w:val="bottom"/>
          </w:tcPr>
          <w:p>
            <w:pPr>
              <w:jc w:val="right"/>
              <w:ind w:right="798"/>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w w:val="84"/>
              </w:rPr>
              <w:t>9,142</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9,122</w:t>
            </w:r>
          </w:p>
        </w:tc>
      </w:tr>
      <w:tr>
        <w:trPr>
          <w:trHeight w:val="270"/>
        </w:trPr>
        <w:tc>
          <w:tcPr>
            <w:tcW w:w="7120" w:type="dxa"/>
            <w:vAlign w:val="bottom"/>
          </w:tcPr>
          <w:p>
            <w:pPr>
              <w:ind w:left="40"/>
              <w:spacing w:after="0"/>
              <w:rPr>
                <w:sz w:val="20"/>
                <w:szCs w:val="20"/>
                <w:color w:val="auto"/>
              </w:rPr>
            </w:pPr>
            <w:r>
              <w:rPr>
                <w:rFonts w:ascii="Arial" w:cs="Arial" w:eastAsia="Arial" w:hAnsi="Arial"/>
                <w:sz w:val="18"/>
                <w:szCs w:val="18"/>
                <w:color w:val="auto"/>
              </w:rPr>
              <w:t>Less: Allowance for doubtful accounts</w:t>
            </w:r>
          </w:p>
        </w:tc>
        <w:tc>
          <w:tcPr>
            <w:tcW w:w="2100" w:type="dxa"/>
            <w:vAlign w:val="bottom"/>
          </w:tcPr>
          <w:p>
            <w:pPr>
              <w:spacing w:after="0"/>
              <w:rPr>
                <w:sz w:val="23"/>
                <w:szCs w:val="23"/>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295</w:t>
            </w:r>
          </w:p>
        </w:tc>
        <w:tc>
          <w:tcPr>
            <w:tcW w:w="360" w:type="dxa"/>
            <w:vAlign w:val="bottom"/>
          </w:tcPr>
          <w:p>
            <w:pPr>
              <w:spacing w:after="0"/>
              <w:rPr>
                <w:sz w:val="23"/>
                <w:szCs w:val="23"/>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288</w:t>
            </w:r>
          </w:p>
        </w:tc>
      </w:tr>
      <w:tr>
        <w:trPr>
          <w:trHeight w:val="27"/>
        </w:trPr>
        <w:tc>
          <w:tcPr>
            <w:tcW w:w="71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120" w:type="dxa"/>
            <w:vAlign w:val="bottom"/>
          </w:tcPr>
          <w:p>
            <w:pPr>
              <w:ind w:left="40"/>
              <w:spacing w:after="0"/>
              <w:rPr>
                <w:sz w:val="20"/>
                <w:szCs w:val="20"/>
                <w:color w:val="auto"/>
              </w:rPr>
            </w:pPr>
            <w:r>
              <w:rPr>
                <w:rFonts w:ascii="Arial" w:cs="Arial" w:eastAsia="Arial" w:hAnsi="Arial"/>
                <w:sz w:val="18"/>
                <w:szCs w:val="18"/>
                <w:b w:val="1"/>
                <w:bCs w:val="1"/>
                <w:color w:val="auto"/>
              </w:rPr>
              <w:t>Receivables, net</w:t>
            </w:r>
          </w:p>
        </w:tc>
        <w:tc>
          <w:tcPr>
            <w:tcW w:w="2100" w:type="dxa"/>
            <w:vAlign w:val="bottom"/>
          </w:tcPr>
          <w:p>
            <w:pPr>
              <w:jc w:val="right"/>
              <w:ind w:right="798"/>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w w:val="84"/>
              </w:rPr>
              <w:t>8,847</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b w:val="1"/>
                <w:bCs w:val="1"/>
                <w:color w:val="auto"/>
              </w:rPr>
              <w:t>8,834</w:t>
            </w:r>
          </w:p>
        </w:tc>
      </w:tr>
      <w:tr>
        <w:trPr>
          <w:trHeight w:val="34"/>
        </w:trPr>
        <w:tc>
          <w:tcPr>
            <w:tcW w:w="71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467"/>
        </w:trPr>
        <w:tc>
          <w:tcPr>
            <w:tcW w:w="7120" w:type="dxa"/>
            <w:vAlign w:val="bottom"/>
          </w:tcPr>
          <w:p>
            <w:pPr>
              <w:spacing w:after="0"/>
              <w:rPr>
                <w:sz w:val="24"/>
                <w:szCs w:val="24"/>
                <w:color w:val="auto"/>
              </w:rPr>
            </w:pPr>
          </w:p>
        </w:tc>
        <w:tc>
          <w:tcPr>
            <w:tcW w:w="2100" w:type="dxa"/>
            <w:vAlign w:val="bottom"/>
          </w:tcPr>
          <w:p>
            <w:pPr>
              <w:jc w:val="center"/>
              <w:ind w:left="1498"/>
              <w:spacing w:after="0"/>
              <w:rPr>
                <w:sz w:val="20"/>
                <w:szCs w:val="20"/>
                <w:color w:val="auto"/>
              </w:rPr>
            </w:pPr>
            <w:r>
              <w:rPr>
                <w:rFonts w:ascii="Arial" w:cs="Arial" w:eastAsia="Arial" w:hAnsi="Arial"/>
                <w:sz w:val="14"/>
                <w:szCs w:val="14"/>
                <w:color w:val="auto"/>
                <w:w w:val="89"/>
              </w:rPr>
              <w:t>June 30,</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center"/>
              <w:ind w:right="177"/>
              <w:spacing w:after="0"/>
              <w:rPr>
                <w:sz w:val="20"/>
                <w:szCs w:val="20"/>
                <w:color w:val="auto"/>
              </w:rPr>
            </w:pPr>
            <w:r>
              <w:rPr>
                <w:rFonts w:ascii="Arial" w:cs="Arial" w:eastAsia="Arial" w:hAnsi="Arial"/>
                <w:sz w:val="14"/>
                <w:szCs w:val="14"/>
                <w:color w:val="auto"/>
                <w:w w:val="90"/>
              </w:rPr>
              <w:t>December 31,</w:t>
            </w:r>
          </w:p>
        </w:tc>
      </w:tr>
      <w:tr>
        <w:trPr>
          <w:trHeight w:val="188"/>
        </w:trPr>
        <w:tc>
          <w:tcPr>
            <w:tcW w:w="7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100" w:type="dxa"/>
            <w:vAlign w:val="bottom"/>
            <w:tcBorders>
              <w:bottom w:val="single" w:sz="8" w:color="auto"/>
            </w:tcBorders>
          </w:tcPr>
          <w:p>
            <w:pPr>
              <w:jc w:val="center"/>
              <w:ind w:left="1538"/>
              <w:spacing w:after="0"/>
              <w:rPr>
                <w:sz w:val="20"/>
                <w:szCs w:val="20"/>
                <w:color w:val="auto"/>
              </w:rPr>
            </w:pPr>
            <w:r>
              <w:rPr>
                <w:rFonts w:ascii="Arial" w:cs="Arial" w:eastAsia="Arial" w:hAnsi="Arial"/>
                <w:sz w:val="14"/>
                <w:szCs w:val="14"/>
                <w:color w:val="auto"/>
                <w:w w:val="89"/>
              </w:rPr>
              <w:t>2018</w:t>
            </w:r>
          </w:p>
        </w:tc>
        <w:tc>
          <w:tcPr>
            <w:tcW w:w="5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color w:val="auto"/>
                <w:w w:val="89"/>
              </w:rPr>
              <w:t>2017</w:t>
            </w: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Noncurrent receivables, net (included in other noncurrent assets, net)</w:t>
            </w:r>
          </w:p>
        </w:tc>
        <w:tc>
          <w:tcPr>
            <w:tcW w:w="2100" w:type="dxa"/>
            <w:vAlign w:val="bottom"/>
          </w:tcPr>
          <w:p>
            <w:pPr>
              <w:jc w:val="right"/>
              <w:ind w:right="798"/>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w w:val="84"/>
              </w:rPr>
              <w:t>1,191</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1,184</w:t>
            </w:r>
          </w:p>
        </w:tc>
      </w:tr>
      <w:tr>
        <w:trPr>
          <w:trHeight w:val="270"/>
        </w:trPr>
        <w:tc>
          <w:tcPr>
            <w:tcW w:w="7120" w:type="dxa"/>
            <w:vAlign w:val="bottom"/>
          </w:tcPr>
          <w:p>
            <w:pPr>
              <w:ind w:left="40"/>
              <w:spacing w:after="0"/>
              <w:rPr>
                <w:sz w:val="20"/>
                <w:szCs w:val="20"/>
                <w:color w:val="auto"/>
              </w:rPr>
            </w:pPr>
            <w:r>
              <w:rPr>
                <w:rFonts w:ascii="Arial" w:cs="Arial" w:eastAsia="Arial" w:hAnsi="Arial"/>
                <w:sz w:val="18"/>
                <w:szCs w:val="18"/>
                <w:color w:val="auto"/>
              </w:rPr>
              <w:t>Contract acquisition and fulfillment costs (included in other noncurrent assets, net)</w:t>
            </w:r>
          </w:p>
        </w:tc>
        <w:tc>
          <w:tcPr>
            <w:tcW w:w="2100" w:type="dxa"/>
            <w:vAlign w:val="bottom"/>
          </w:tcPr>
          <w:p>
            <w:pPr>
              <w:jc w:val="right"/>
              <w:ind w:right="798"/>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929</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922</w:t>
            </w:r>
          </w:p>
        </w:tc>
      </w:tr>
      <w:tr>
        <w:trPr>
          <w:trHeight w:val="270"/>
        </w:trPr>
        <w:tc>
          <w:tcPr>
            <w:tcW w:w="7120" w:type="dxa"/>
            <w:vAlign w:val="bottom"/>
          </w:tcPr>
          <w:p>
            <w:pPr>
              <w:ind w:left="40"/>
              <w:spacing w:after="0"/>
              <w:rPr>
                <w:sz w:val="20"/>
                <w:szCs w:val="20"/>
                <w:color w:val="auto"/>
              </w:rPr>
            </w:pPr>
            <w:r>
              <w:rPr>
                <w:rFonts w:ascii="Arial" w:cs="Arial" w:eastAsia="Arial" w:hAnsi="Arial"/>
                <w:sz w:val="18"/>
                <w:szCs w:val="18"/>
                <w:color w:val="auto"/>
              </w:rPr>
              <w:t>Noncurrent deferred revenue (included in other noncurrent liabilities)</w:t>
            </w:r>
          </w:p>
        </w:tc>
        <w:tc>
          <w:tcPr>
            <w:tcW w:w="2100" w:type="dxa"/>
            <w:vAlign w:val="bottom"/>
          </w:tcPr>
          <w:p>
            <w:pPr>
              <w:jc w:val="right"/>
              <w:ind w:right="798"/>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530</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497</w:t>
            </w:r>
          </w:p>
        </w:tc>
      </w:tr>
      <w:tr>
        <w:trPr>
          <w:trHeight w:val="27"/>
        </w:trPr>
        <w:tc>
          <w:tcPr>
            <w:tcW w:w="71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our Cable Communications segment, we manage credit risk by screening applicants through the use of internal customer information, identification verification tools and credit bureau data, as well as offering customers the opportunity to establish automatic monthly payments. If a customer’s account is delinquent, various measures are used to collect outstanding amounts, including termination of the customer’s cable services.</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Earnings Per Share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Diluted EPS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3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602"/>
              <w:spacing w:after="0"/>
              <w:rPr>
                <w:sz w:val="20"/>
                <w:szCs w:val="20"/>
                <w:color w:val="auto"/>
              </w:rPr>
            </w:pPr>
            <w:r>
              <w:rPr>
                <w:rFonts w:ascii="Arial" w:cs="Arial" w:eastAsia="Arial" w:hAnsi="Arial"/>
                <w:sz w:val="14"/>
                <w:szCs w:val="14"/>
                <w:color w:val="auto"/>
              </w:rPr>
              <w:t>Three Months Ended June 30</w:t>
            </w:r>
          </w:p>
        </w:tc>
        <w:tc>
          <w:tcPr>
            <w:tcW w:w="1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33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color w:val="auto"/>
              </w:rPr>
              <w:t>2018</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color w:val="auto"/>
              </w:rPr>
              <w:t>2017</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r>
      <w:tr>
        <w:trPr>
          <w:trHeight w:val="156"/>
        </w:trPr>
        <w:tc>
          <w:tcPr>
            <w:tcW w:w="3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jc w:val="center"/>
              <w:ind w:right="322"/>
              <w:spacing w:after="0" w:line="157" w:lineRule="exact"/>
              <w:rPr>
                <w:sz w:val="20"/>
                <w:szCs w:val="20"/>
                <w:color w:val="auto"/>
              </w:rPr>
            </w:pPr>
            <w:r>
              <w:rPr>
                <w:rFonts w:ascii="Arial" w:cs="Arial" w:eastAsia="Arial" w:hAnsi="Arial"/>
                <w:sz w:val="14"/>
                <w:szCs w:val="14"/>
                <w:color w:val="auto"/>
                <w:w w:val="92"/>
              </w:rPr>
              <w:t>Net Income</w:t>
            </w: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center"/>
              <w:ind w:right="282"/>
              <w:spacing w:after="0" w:line="157" w:lineRule="exact"/>
              <w:rPr>
                <w:sz w:val="20"/>
                <w:szCs w:val="20"/>
                <w:color w:val="auto"/>
              </w:rPr>
            </w:pPr>
            <w:r>
              <w:rPr>
                <w:rFonts w:ascii="Arial" w:cs="Arial" w:eastAsia="Arial" w:hAnsi="Arial"/>
                <w:sz w:val="14"/>
                <w:szCs w:val="14"/>
                <w:color w:val="auto"/>
                <w:w w:val="92"/>
              </w:rPr>
              <w:t>Net Income</w:t>
            </w: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49"/>
        </w:trPr>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ind w:right="302"/>
              <w:spacing w:after="0" w:line="149" w:lineRule="exact"/>
              <w:rPr>
                <w:sz w:val="20"/>
                <w:szCs w:val="20"/>
                <w:color w:val="auto"/>
              </w:rPr>
            </w:pPr>
            <w:r>
              <w:rPr>
                <w:rFonts w:ascii="Arial" w:cs="Arial" w:eastAsia="Arial" w:hAnsi="Arial"/>
                <w:sz w:val="14"/>
                <w:szCs w:val="14"/>
                <w:color w:val="auto"/>
                <w:w w:val="97"/>
              </w:rPr>
              <w:t>Attributable to</w:t>
            </w: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282"/>
              <w:spacing w:after="0" w:line="149" w:lineRule="exact"/>
              <w:rPr>
                <w:sz w:val="20"/>
                <w:szCs w:val="20"/>
                <w:color w:val="auto"/>
              </w:rPr>
            </w:pPr>
            <w:r>
              <w:rPr>
                <w:rFonts w:ascii="Arial" w:cs="Arial" w:eastAsia="Arial" w:hAnsi="Arial"/>
                <w:sz w:val="14"/>
                <w:szCs w:val="14"/>
                <w:color w:val="auto"/>
                <w:w w:val="99"/>
              </w:rPr>
              <w:t>Attributable to</w:t>
            </w: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9"/>
        </w:trPr>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ind w:right="322"/>
              <w:spacing w:after="0" w:line="149" w:lineRule="exact"/>
              <w:rPr>
                <w:sz w:val="20"/>
                <w:szCs w:val="20"/>
                <w:color w:val="auto"/>
              </w:rPr>
            </w:pPr>
            <w:r>
              <w:rPr>
                <w:rFonts w:ascii="Arial" w:cs="Arial" w:eastAsia="Arial" w:hAnsi="Arial"/>
                <w:sz w:val="14"/>
                <w:szCs w:val="14"/>
                <w:color w:val="auto"/>
                <w:w w:val="90"/>
              </w:rPr>
              <w:t>Comcast</w:t>
            </w: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281"/>
              <w:spacing w:after="0" w:line="149" w:lineRule="exact"/>
              <w:rPr>
                <w:sz w:val="20"/>
                <w:szCs w:val="20"/>
                <w:color w:val="auto"/>
              </w:rPr>
            </w:pPr>
            <w:r>
              <w:rPr>
                <w:rFonts w:ascii="Arial" w:cs="Arial" w:eastAsia="Arial" w:hAnsi="Arial"/>
                <w:sz w:val="14"/>
                <w:szCs w:val="14"/>
                <w:color w:val="auto"/>
              </w:rPr>
              <w:t>Per Share</w:t>
            </w:r>
          </w:p>
        </w:tc>
        <w:tc>
          <w:tcPr>
            <w:tcW w:w="240" w:type="dxa"/>
            <w:vAlign w:val="bottom"/>
          </w:tcPr>
          <w:p>
            <w:pPr>
              <w:spacing w:after="0"/>
              <w:rPr>
                <w:sz w:val="12"/>
                <w:szCs w:val="12"/>
                <w:color w:val="auto"/>
              </w:rPr>
            </w:pPr>
          </w:p>
        </w:tc>
        <w:tc>
          <w:tcPr>
            <w:tcW w:w="1300" w:type="dxa"/>
            <w:vAlign w:val="bottom"/>
          </w:tcPr>
          <w:p>
            <w:pPr>
              <w:jc w:val="center"/>
              <w:ind w:right="282"/>
              <w:spacing w:after="0" w:line="149" w:lineRule="exact"/>
              <w:rPr>
                <w:sz w:val="20"/>
                <w:szCs w:val="20"/>
                <w:color w:val="auto"/>
              </w:rPr>
            </w:pPr>
            <w:r>
              <w:rPr>
                <w:rFonts w:ascii="Arial" w:cs="Arial" w:eastAsia="Arial" w:hAnsi="Arial"/>
                <w:sz w:val="14"/>
                <w:szCs w:val="14"/>
                <w:color w:val="auto"/>
                <w:w w:val="90"/>
              </w:rPr>
              <w:t>Comcast</w:t>
            </w: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ind w:right="279"/>
              <w:spacing w:after="0" w:line="149" w:lineRule="exact"/>
              <w:rPr>
                <w:sz w:val="20"/>
                <w:szCs w:val="20"/>
                <w:color w:val="auto"/>
              </w:rPr>
            </w:pPr>
            <w:r>
              <w:rPr>
                <w:rFonts w:ascii="Arial" w:cs="Arial" w:eastAsia="Arial" w:hAnsi="Arial"/>
                <w:sz w:val="14"/>
                <w:szCs w:val="14"/>
                <w:color w:val="auto"/>
              </w:rPr>
              <w:t>Per Share</w:t>
            </w:r>
          </w:p>
        </w:tc>
      </w:tr>
      <w:tr>
        <w:trPr>
          <w:trHeight w:val="188"/>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22"/>
              <w:spacing w:after="0"/>
              <w:rPr>
                <w:sz w:val="20"/>
                <w:szCs w:val="20"/>
                <w:color w:val="auto"/>
              </w:rPr>
            </w:pPr>
            <w:r>
              <w:rPr>
                <w:rFonts w:ascii="Arial" w:cs="Arial" w:eastAsia="Arial" w:hAnsi="Arial"/>
                <w:sz w:val="14"/>
                <w:szCs w:val="14"/>
                <w:color w:val="auto"/>
                <w:w w:val="95"/>
              </w:rPr>
              <w:t>Corporation</w:t>
            </w:r>
          </w:p>
        </w:tc>
        <w:tc>
          <w:tcPr>
            <w:tcW w:w="11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rPr>
              <w:t>Shares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82"/>
              <w:spacing w:after="0"/>
              <w:rPr>
                <w:sz w:val="20"/>
                <w:szCs w:val="20"/>
                <w:color w:val="auto"/>
              </w:rPr>
            </w:pPr>
            <w:r>
              <w:rPr>
                <w:rFonts w:ascii="Arial" w:cs="Arial" w:eastAsia="Arial" w:hAnsi="Arial"/>
                <w:sz w:val="14"/>
                <w:szCs w:val="14"/>
                <w:color w:val="auto"/>
                <w:w w:val="95"/>
              </w:rPr>
              <w:t>Corporation</w:t>
            </w:r>
          </w:p>
        </w:tc>
        <w:tc>
          <w:tcPr>
            <w:tcW w:w="11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color w:val="auto"/>
              </w:rPr>
              <w:t>Shares</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Amount</w:t>
            </w:r>
          </w:p>
        </w:tc>
      </w:tr>
      <w:tr>
        <w:trPr>
          <w:trHeight w:val="228"/>
        </w:trPr>
        <w:tc>
          <w:tcPr>
            <w:tcW w:w="3300" w:type="dxa"/>
            <w:vAlign w:val="bottom"/>
          </w:tcPr>
          <w:p>
            <w:pPr>
              <w:ind w:left="20"/>
              <w:spacing w:after="0"/>
              <w:rPr>
                <w:sz w:val="20"/>
                <w:szCs w:val="20"/>
                <w:color w:val="auto"/>
              </w:rPr>
            </w:pPr>
            <w:r>
              <w:rPr>
                <w:rFonts w:ascii="Arial" w:cs="Arial" w:eastAsia="Arial" w:hAnsi="Arial"/>
                <w:sz w:val="18"/>
                <w:szCs w:val="18"/>
                <w:color w:val="auto"/>
              </w:rPr>
              <w:t>Basic EPS attributable to Comcast</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3300" w:type="dxa"/>
            <w:vAlign w:val="bottom"/>
          </w:tcPr>
          <w:p>
            <w:pPr>
              <w:ind w:left="180"/>
              <w:spacing w:after="0"/>
              <w:rPr>
                <w:sz w:val="20"/>
                <w:szCs w:val="20"/>
                <w:color w:val="auto"/>
              </w:rPr>
            </w:pPr>
            <w:r>
              <w:rPr>
                <w:rFonts w:ascii="Arial" w:cs="Arial" w:eastAsia="Arial" w:hAnsi="Arial"/>
                <w:sz w:val="18"/>
                <w:szCs w:val="18"/>
                <w:color w:val="auto"/>
              </w:rPr>
              <w:t>Corporation shareholders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262"/>
              <w:spacing w:after="0"/>
              <w:rPr>
                <w:sz w:val="20"/>
                <w:szCs w:val="20"/>
                <w:color w:val="auto"/>
              </w:rPr>
            </w:pPr>
            <w:r>
              <w:rPr>
                <w:rFonts w:ascii="Arial" w:cs="Arial" w:eastAsia="Arial" w:hAnsi="Arial"/>
                <w:sz w:val="18"/>
                <w:szCs w:val="18"/>
                <w:color w:val="auto"/>
              </w:rPr>
              <w:t>3,216</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4,598</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41"/>
              <w:spacing w:after="0"/>
              <w:rPr>
                <w:sz w:val="20"/>
                <w:szCs w:val="20"/>
                <w:color w:val="auto"/>
              </w:rPr>
            </w:pPr>
            <w:r>
              <w:rPr>
                <w:rFonts w:ascii="Arial" w:cs="Arial" w:eastAsia="Arial" w:hAnsi="Arial"/>
                <w:sz w:val="18"/>
                <w:szCs w:val="18"/>
                <w:color w:val="auto"/>
              </w:rPr>
              <w:t>0.70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42"/>
              <w:spacing w:after="0"/>
              <w:rPr>
                <w:sz w:val="20"/>
                <w:szCs w:val="20"/>
                <w:color w:val="auto"/>
              </w:rPr>
            </w:pPr>
            <w:r>
              <w:rPr>
                <w:rFonts w:ascii="Arial" w:cs="Arial" w:eastAsia="Arial" w:hAnsi="Arial"/>
                <w:sz w:val="18"/>
                <w:szCs w:val="18"/>
                <w:color w:val="auto"/>
              </w:rPr>
              <w:t>2,521</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4,728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9"/>
              <w:spacing w:after="0"/>
              <w:rPr>
                <w:sz w:val="20"/>
                <w:szCs w:val="20"/>
                <w:color w:val="auto"/>
              </w:rPr>
            </w:pPr>
            <w:r>
              <w:rPr>
                <w:rFonts w:ascii="Arial" w:cs="Arial" w:eastAsia="Arial" w:hAnsi="Arial"/>
                <w:sz w:val="18"/>
                <w:szCs w:val="18"/>
                <w:color w:val="auto"/>
              </w:rPr>
              <w:t>0.53</w:t>
            </w:r>
          </w:p>
        </w:tc>
      </w:tr>
      <w:tr>
        <w:trPr>
          <w:trHeight w:val="270"/>
        </w:trPr>
        <w:tc>
          <w:tcPr>
            <w:tcW w:w="330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6"/>
        </w:trPr>
        <w:tc>
          <w:tcPr>
            <w:tcW w:w="3300" w:type="dxa"/>
            <w:vAlign w:val="bottom"/>
          </w:tcPr>
          <w:p>
            <w:pPr>
              <w:ind w:left="460"/>
              <w:spacing w:after="0"/>
              <w:rPr>
                <w:sz w:val="20"/>
                <w:szCs w:val="20"/>
                <w:color w:val="auto"/>
              </w:rPr>
            </w:pPr>
            <w:r>
              <w:rPr>
                <w:rFonts w:ascii="Arial" w:cs="Arial" w:eastAsia="Arial" w:hAnsi="Arial"/>
                <w:sz w:val="18"/>
                <w:szCs w:val="18"/>
                <w:color w:val="auto"/>
              </w:rPr>
              <w:t>Assumed exercise or issuance of</w:t>
            </w: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30"/>
        </w:trPr>
        <w:tc>
          <w:tcPr>
            <w:tcW w:w="3300" w:type="dxa"/>
            <w:vAlign w:val="bottom"/>
          </w:tcPr>
          <w:p>
            <w:pPr>
              <w:ind w:left="620"/>
              <w:spacing w:after="0"/>
              <w:rPr>
                <w:sz w:val="20"/>
                <w:szCs w:val="20"/>
                <w:color w:val="auto"/>
              </w:rPr>
            </w:pPr>
            <w:r>
              <w:rPr>
                <w:rFonts w:ascii="Arial" w:cs="Arial" w:eastAsia="Arial" w:hAnsi="Arial"/>
                <w:sz w:val="18"/>
                <w:szCs w:val="18"/>
                <w:color w:val="auto"/>
              </w:rPr>
              <w:t>shares relating to stock plans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81</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3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8"/>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Diluted EPS attributable to Comcast</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3300" w:type="dxa"/>
            <w:vAlign w:val="bottom"/>
          </w:tcPr>
          <w:p>
            <w:pPr>
              <w:ind w:left="180"/>
              <w:spacing w:after="0"/>
              <w:rPr>
                <w:sz w:val="20"/>
                <w:szCs w:val="20"/>
                <w:color w:val="auto"/>
              </w:rPr>
            </w:pPr>
            <w:r>
              <w:rPr>
                <w:rFonts w:ascii="Arial" w:cs="Arial" w:eastAsia="Arial" w:hAnsi="Arial"/>
                <w:sz w:val="18"/>
                <w:szCs w:val="18"/>
                <w:b w:val="1"/>
                <w:bCs w:val="1"/>
                <w:color w:val="auto"/>
              </w:rPr>
              <w:t>Corporation shareholders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Pr>
          <w:p>
            <w:pPr>
              <w:jc w:val="right"/>
              <w:ind w:right="262"/>
              <w:spacing w:after="0"/>
              <w:rPr>
                <w:sz w:val="20"/>
                <w:szCs w:val="20"/>
                <w:color w:val="auto"/>
              </w:rPr>
            </w:pPr>
            <w:r>
              <w:rPr>
                <w:rFonts w:ascii="Arial" w:cs="Arial" w:eastAsia="Arial" w:hAnsi="Arial"/>
                <w:sz w:val="18"/>
                <w:szCs w:val="18"/>
                <w:b w:val="1"/>
                <w:bCs w:val="1"/>
                <w:color w:val="auto"/>
              </w:rPr>
              <w:t>3,216</w:t>
            </w:r>
          </w:p>
        </w:tc>
        <w:tc>
          <w:tcPr>
            <w:tcW w:w="1160" w:type="dxa"/>
            <w:vAlign w:val="bottom"/>
          </w:tcPr>
          <w:p>
            <w:pPr>
              <w:jc w:val="right"/>
              <w:ind w:right="36"/>
              <w:spacing w:after="0"/>
              <w:rPr>
                <w:sz w:val="20"/>
                <w:szCs w:val="20"/>
                <w:color w:val="auto"/>
              </w:rPr>
            </w:pPr>
            <w:r>
              <w:rPr>
                <w:rFonts w:ascii="Arial" w:cs="Arial" w:eastAsia="Arial" w:hAnsi="Arial"/>
                <w:sz w:val="18"/>
                <w:szCs w:val="18"/>
                <w:b w:val="1"/>
                <w:bCs w:val="1"/>
                <w:color w:val="auto"/>
              </w:rPr>
              <w:t>4,643</w:t>
            </w:r>
          </w:p>
        </w:tc>
        <w:tc>
          <w:tcPr>
            <w:tcW w:w="3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41"/>
              <w:spacing w:after="0"/>
              <w:rPr>
                <w:sz w:val="20"/>
                <w:szCs w:val="20"/>
                <w:color w:val="auto"/>
              </w:rPr>
            </w:pPr>
            <w:r>
              <w:rPr>
                <w:rFonts w:ascii="Arial" w:cs="Arial" w:eastAsia="Arial" w:hAnsi="Arial"/>
                <w:sz w:val="18"/>
                <w:szCs w:val="18"/>
                <w:b w:val="1"/>
                <w:bCs w:val="1"/>
                <w:color w:val="auto"/>
              </w:rPr>
              <w:t>0.69</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242"/>
              <w:spacing w:after="0"/>
              <w:rPr>
                <w:sz w:val="20"/>
                <w:szCs w:val="20"/>
                <w:color w:val="auto"/>
              </w:rPr>
            </w:pPr>
            <w:r>
              <w:rPr>
                <w:rFonts w:ascii="Arial" w:cs="Arial" w:eastAsia="Arial" w:hAnsi="Arial"/>
                <w:sz w:val="18"/>
                <w:szCs w:val="18"/>
                <w:b w:val="1"/>
                <w:bCs w:val="1"/>
                <w:color w:val="auto"/>
              </w:rPr>
              <w:t>2,521</w:t>
            </w:r>
          </w:p>
        </w:tc>
        <w:tc>
          <w:tcPr>
            <w:tcW w:w="1160" w:type="dxa"/>
            <w:vAlign w:val="bottom"/>
          </w:tcPr>
          <w:p>
            <w:pPr>
              <w:jc w:val="right"/>
              <w:ind w:right="37"/>
              <w:spacing w:after="0"/>
              <w:rPr>
                <w:sz w:val="20"/>
                <w:szCs w:val="20"/>
                <w:color w:val="auto"/>
              </w:rPr>
            </w:pPr>
            <w:r>
              <w:rPr>
                <w:rFonts w:ascii="Arial" w:cs="Arial" w:eastAsia="Arial" w:hAnsi="Arial"/>
                <w:sz w:val="18"/>
                <w:szCs w:val="18"/>
                <w:b w:val="1"/>
                <w:bCs w:val="1"/>
                <w:color w:val="auto"/>
              </w:rPr>
              <w:t>4,809</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39"/>
              <w:spacing w:after="0"/>
              <w:rPr>
                <w:sz w:val="20"/>
                <w:szCs w:val="20"/>
                <w:color w:val="auto"/>
              </w:rPr>
            </w:pPr>
            <w:r>
              <w:rPr>
                <w:rFonts w:ascii="Arial" w:cs="Arial" w:eastAsia="Arial" w:hAnsi="Arial"/>
                <w:sz w:val="18"/>
                <w:szCs w:val="18"/>
                <w:b w:val="1"/>
                <w:bCs w:val="1"/>
                <w:color w:val="auto"/>
              </w:rPr>
              <w:t>0.52</w:t>
            </w:r>
          </w:p>
        </w:tc>
      </w:tr>
      <w:tr>
        <w:trPr>
          <w:trHeight w:val="34"/>
        </w:trPr>
        <w:tc>
          <w:tcPr>
            <w:tcW w:w="3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621"/>
        </w:trPr>
        <w:tc>
          <w:tcPr>
            <w:tcW w:w="3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jc w:val="right"/>
              <w:ind w:right="116"/>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682"/>
              <w:spacing w:after="0"/>
              <w:rPr>
                <w:sz w:val="20"/>
                <w:szCs w:val="20"/>
                <w:color w:val="auto"/>
              </w:rPr>
            </w:pPr>
            <w:r>
              <w:rPr>
                <w:rFonts w:ascii="Arial" w:cs="Arial" w:eastAsia="Arial" w:hAnsi="Arial"/>
                <w:sz w:val="14"/>
                <w:szCs w:val="14"/>
                <w:color w:val="auto"/>
              </w:rPr>
              <w:t>Six Months Ended June 30</w:t>
            </w:r>
          </w:p>
        </w:tc>
        <w:tc>
          <w:tcPr>
            <w:tcW w:w="11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color w:val="auto"/>
              </w:rPr>
              <w:t>2018</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color w:val="auto"/>
              </w:rPr>
              <w:t>2017</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r>
      <w:tr>
        <w:trPr>
          <w:trHeight w:val="156"/>
        </w:trPr>
        <w:tc>
          <w:tcPr>
            <w:tcW w:w="3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jc w:val="center"/>
              <w:ind w:right="302"/>
              <w:spacing w:after="0" w:line="157" w:lineRule="exact"/>
              <w:rPr>
                <w:sz w:val="20"/>
                <w:szCs w:val="20"/>
                <w:color w:val="auto"/>
              </w:rPr>
            </w:pPr>
            <w:r>
              <w:rPr>
                <w:rFonts w:ascii="Arial" w:cs="Arial" w:eastAsia="Arial" w:hAnsi="Arial"/>
                <w:sz w:val="14"/>
                <w:szCs w:val="14"/>
                <w:color w:val="auto"/>
                <w:w w:val="94"/>
              </w:rPr>
              <w:t>Net Income</w:t>
            </w: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center"/>
              <w:ind w:right="302"/>
              <w:spacing w:after="0" w:line="157" w:lineRule="exact"/>
              <w:rPr>
                <w:sz w:val="20"/>
                <w:szCs w:val="20"/>
                <w:color w:val="auto"/>
              </w:rPr>
            </w:pPr>
            <w:r>
              <w:rPr>
                <w:rFonts w:ascii="Arial" w:cs="Arial" w:eastAsia="Arial" w:hAnsi="Arial"/>
                <w:sz w:val="14"/>
                <w:szCs w:val="14"/>
                <w:color w:val="auto"/>
                <w:w w:val="94"/>
              </w:rPr>
              <w:t>Net Income</w:t>
            </w: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ind w:right="302"/>
              <w:spacing w:after="0" w:line="149" w:lineRule="exact"/>
              <w:rPr>
                <w:sz w:val="20"/>
                <w:szCs w:val="20"/>
                <w:color w:val="auto"/>
              </w:rPr>
            </w:pPr>
            <w:r>
              <w:rPr>
                <w:rFonts w:ascii="Arial" w:cs="Arial" w:eastAsia="Arial" w:hAnsi="Arial"/>
                <w:sz w:val="14"/>
                <w:szCs w:val="14"/>
                <w:color w:val="auto"/>
                <w:w w:val="97"/>
              </w:rPr>
              <w:t>Attributable to</w:t>
            </w: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302"/>
              <w:spacing w:after="0" w:line="149" w:lineRule="exact"/>
              <w:rPr>
                <w:sz w:val="20"/>
                <w:szCs w:val="20"/>
                <w:color w:val="auto"/>
              </w:rPr>
            </w:pPr>
            <w:r>
              <w:rPr>
                <w:rFonts w:ascii="Arial" w:cs="Arial" w:eastAsia="Arial" w:hAnsi="Arial"/>
                <w:sz w:val="14"/>
                <w:szCs w:val="14"/>
                <w:color w:val="auto"/>
                <w:w w:val="97"/>
              </w:rPr>
              <w:t>Attributable to</w:t>
            </w: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ind w:right="302"/>
              <w:spacing w:after="0" w:line="149" w:lineRule="exact"/>
              <w:rPr>
                <w:sz w:val="20"/>
                <w:szCs w:val="20"/>
                <w:color w:val="auto"/>
              </w:rPr>
            </w:pPr>
            <w:r>
              <w:rPr>
                <w:rFonts w:ascii="Arial" w:cs="Arial" w:eastAsia="Arial" w:hAnsi="Arial"/>
                <w:sz w:val="14"/>
                <w:szCs w:val="14"/>
                <w:color w:val="auto"/>
                <w:w w:val="94"/>
              </w:rPr>
              <w:t>Comcast</w:t>
            </w: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281"/>
              <w:spacing w:after="0" w:line="149" w:lineRule="exact"/>
              <w:rPr>
                <w:sz w:val="20"/>
                <w:szCs w:val="20"/>
                <w:color w:val="auto"/>
              </w:rPr>
            </w:pPr>
            <w:r>
              <w:rPr>
                <w:rFonts w:ascii="Arial" w:cs="Arial" w:eastAsia="Arial" w:hAnsi="Arial"/>
                <w:sz w:val="14"/>
                <w:szCs w:val="14"/>
                <w:color w:val="auto"/>
              </w:rPr>
              <w:t>Per Share</w:t>
            </w:r>
          </w:p>
        </w:tc>
        <w:tc>
          <w:tcPr>
            <w:tcW w:w="260" w:type="dxa"/>
            <w:vAlign w:val="bottom"/>
          </w:tcPr>
          <w:p>
            <w:pPr>
              <w:spacing w:after="0"/>
              <w:rPr>
                <w:sz w:val="12"/>
                <w:szCs w:val="12"/>
                <w:color w:val="auto"/>
              </w:rPr>
            </w:pPr>
          </w:p>
        </w:tc>
        <w:tc>
          <w:tcPr>
            <w:tcW w:w="1300" w:type="dxa"/>
            <w:vAlign w:val="bottom"/>
          </w:tcPr>
          <w:p>
            <w:pPr>
              <w:jc w:val="center"/>
              <w:ind w:right="322"/>
              <w:spacing w:after="0" w:line="149" w:lineRule="exact"/>
              <w:rPr>
                <w:sz w:val="20"/>
                <w:szCs w:val="20"/>
                <w:color w:val="auto"/>
              </w:rPr>
            </w:pPr>
            <w:r>
              <w:rPr>
                <w:rFonts w:ascii="Arial" w:cs="Arial" w:eastAsia="Arial" w:hAnsi="Arial"/>
                <w:sz w:val="14"/>
                <w:szCs w:val="14"/>
                <w:color w:val="auto"/>
                <w:w w:val="90"/>
              </w:rPr>
              <w:t>Comcast</w:t>
            </w: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jc w:val="right"/>
              <w:ind w:right="279"/>
              <w:spacing w:after="0" w:line="149" w:lineRule="exact"/>
              <w:rPr>
                <w:sz w:val="20"/>
                <w:szCs w:val="20"/>
                <w:color w:val="auto"/>
              </w:rPr>
            </w:pPr>
            <w:r>
              <w:rPr>
                <w:rFonts w:ascii="Arial" w:cs="Arial" w:eastAsia="Arial" w:hAnsi="Arial"/>
                <w:sz w:val="14"/>
                <w:szCs w:val="14"/>
                <w:color w:val="auto"/>
              </w:rPr>
              <w:t>Per Share</w:t>
            </w:r>
          </w:p>
        </w:tc>
      </w:tr>
      <w:tr>
        <w:trPr>
          <w:trHeight w:val="188"/>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 share data)</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02"/>
              <w:spacing w:after="0"/>
              <w:rPr>
                <w:sz w:val="20"/>
                <w:szCs w:val="20"/>
                <w:color w:val="auto"/>
              </w:rPr>
            </w:pPr>
            <w:r>
              <w:rPr>
                <w:rFonts w:ascii="Arial" w:cs="Arial" w:eastAsia="Arial" w:hAnsi="Arial"/>
                <w:sz w:val="14"/>
                <w:szCs w:val="14"/>
                <w:color w:val="auto"/>
                <w:w w:val="92"/>
              </w:rPr>
              <w:t>Corporation</w:t>
            </w:r>
          </w:p>
        </w:tc>
        <w:tc>
          <w:tcPr>
            <w:tcW w:w="11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color w:val="auto"/>
              </w:rPr>
              <w:t>Shares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Amount</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22"/>
              <w:spacing w:after="0"/>
              <w:rPr>
                <w:sz w:val="20"/>
                <w:szCs w:val="20"/>
                <w:color w:val="auto"/>
              </w:rPr>
            </w:pPr>
            <w:r>
              <w:rPr>
                <w:rFonts w:ascii="Arial" w:cs="Arial" w:eastAsia="Arial" w:hAnsi="Arial"/>
                <w:sz w:val="14"/>
                <w:szCs w:val="14"/>
                <w:color w:val="auto"/>
                <w:w w:val="95"/>
              </w:rPr>
              <w:t>Corporation</w:t>
            </w:r>
          </w:p>
        </w:tc>
        <w:tc>
          <w:tcPr>
            <w:tcW w:w="11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color w:val="auto"/>
              </w:rPr>
              <w:t>Shares</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Amount</w:t>
            </w:r>
          </w:p>
        </w:tc>
      </w:tr>
      <w:tr>
        <w:trPr>
          <w:trHeight w:val="228"/>
        </w:trPr>
        <w:tc>
          <w:tcPr>
            <w:tcW w:w="3340" w:type="dxa"/>
            <w:vAlign w:val="bottom"/>
          </w:tcPr>
          <w:p>
            <w:pPr>
              <w:ind w:left="40"/>
              <w:spacing w:after="0"/>
              <w:rPr>
                <w:sz w:val="20"/>
                <w:szCs w:val="20"/>
                <w:color w:val="auto"/>
              </w:rPr>
            </w:pPr>
            <w:r>
              <w:rPr>
                <w:rFonts w:ascii="Arial" w:cs="Arial" w:eastAsia="Arial" w:hAnsi="Arial"/>
                <w:sz w:val="18"/>
                <w:szCs w:val="18"/>
                <w:color w:val="auto"/>
              </w:rPr>
              <w:t>Basic EPS attributable to Comcast</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3340" w:type="dxa"/>
            <w:vAlign w:val="bottom"/>
          </w:tcPr>
          <w:p>
            <w:pPr>
              <w:ind w:left="280"/>
              <w:spacing w:after="0"/>
              <w:rPr>
                <w:sz w:val="20"/>
                <w:szCs w:val="20"/>
                <w:color w:val="auto"/>
              </w:rPr>
            </w:pPr>
            <w:r>
              <w:rPr>
                <w:rFonts w:ascii="Arial" w:cs="Arial" w:eastAsia="Arial" w:hAnsi="Arial"/>
                <w:sz w:val="18"/>
                <w:szCs w:val="18"/>
                <w:color w:val="auto"/>
              </w:rPr>
              <w:t>Corporation shareholders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262"/>
              <w:spacing w:after="0"/>
              <w:rPr>
                <w:sz w:val="20"/>
                <w:szCs w:val="20"/>
                <w:color w:val="auto"/>
              </w:rPr>
            </w:pPr>
            <w:r>
              <w:rPr>
                <w:rFonts w:ascii="Arial" w:cs="Arial" w:eastAsia="Arial" w:hAnsi="Arial"/>
                <w:sz w:val="18"/>
                <w:szCs w:val="18"/>
                <w:color w:val="auto"/>
              </w:rPr>
              <w:t>6,334</w:t>
            </w:r>
          </w:p>
        </w:tc>
        <w:tc>
          <w:tcPr>
            <w:tcW w:w="1160" w:type="dxa"/>
            <w:vAlign w:val="bottom"/>
          </w:tcPr>
          <w:p>
            <w:pPr>
              <w:jc w:val="right"/>
              <w:ind w:right="57"/>
              <w:spacing w:after="0"/>
              <w:rPr>
                <w:sz w:val="20"/>
                <w:szCs w:val="20"/>
                <w:color w:val="auto"/>
              </w:rPr>
            </w:pPr>
            <w:r>
              <w:rPr>
                <w:rFonts w:ascii="Arial" w:cs="Arial" w:eastAsia="Arial" w:hAnsi="Arial"/>
                <w:sz w:val="18"/>
                <w:szCs w:val="18"/>
                <w:color w:val="auto"/>
              </w:rPr>
              <w:t>4,616</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41"/>
              <w:spacing w:after="0"/>
              <w:rPr>
                <w:sz w:val="20"/>
                <w:szCs w:val="20"/>
                <w:color w:val="auto"/>
              </w:rPr>
            </w:pPr>
            <w:r>
              <w:rPr>
                <w:rFonts w:ascii="Arial" w:cs="Arial" w:eastAsia="Arial" w:hAnsi="Arial"/>
                <w:sz w:val="18"/>
                <w:szCs w:val="18"/>
                <w:color w:val="auto"/>
              </w:rPr>
              <w:t>1.37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42"/>
              <w:spacing w:after="0"/>
              <w:rPr>
                <w:sz w:val="20"/>
                <w:szCs w:val="20"/>
                <w:color w:val="auto"/>
              </w:rPr>
            </w:pPr>
            <w:r>
              <w:rPr>
                <w:rFonts w:ascii="Arial" w:cs="Arial" w:eastAsia="Arial" w:hAnsi="Arial"/>
                <w:sz w:val="18"/>
                <w:szCs w:val="18"/>
                <w:color w:val="auto"/>
              </w:rPr>
              <w:t>5,094</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4,738</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1.08</w:t>
            </w:r>
          </w:p>
        </w:tc>
      </w:tr>
      <w:tr>
        <w:trPr>
          <w:trHeight w:val="270"/>
        </w:trPr>
        <w:tc>
          <w:tcPr>
            <w:tcW w:w="334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6"/>
        </w:trPr>
        <w:tc>
          <w:tcPr>
            <w:tcW w:w="3340" w:type="dxa"/>
            <w:vAlign w:val="bottom"/>
          </w:tcPr>
          <w:p>
            <w:pPr>
              <w:ind w:left="460"/>
              <w:spacing w:after="0"/>
              <w:rPr>
                <w:sz w:val="20"/>
                <w:szCs w:val="20"/>
                <w:color w:val="auto"/>
              </w:rPr>
            </w:pPr>
            <w:r>
              <w:rPr>
                <w:rFonts w:ascii="Arial" w:cs="Arial" w:eastAsia="Arial" w:hAnsi="Arial"/>
                <w:sz w:val="18"/>
                <w:szCs w:val="18"/>
                <w:color w:val="auto"/>
              </w:rPr>
              <w:t>Assumed exercise or issuance of</w:t>
            </w: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30"/>
        </w:trPr>
        <w:tc>
          <w:tcPr>
            <w:tcW w:w="3340" w:type="dxa"/>
            <w:vAlign w:val="bottom"/>
          </w:tcPr>
          <w:p>
            <w:pPr>
              <w:ind w:left="620"/>
              <w:spacing w:after="0"/>
              <w:rPr>
                <w:sz w:val="20"/>
                <w:szCs w:val="20"/>
                <w:color w:val="auto"/>
              </w:rPr>
            </w:pPr>
            <w:r>
              <w:rPr>
                <w:rFonts w:ascii="Arial" w:cs="Arial" w:eastAsia="Arial" w:hAnsi="Arial"/>
                <w:sz w:val="18"/>
                <w:szCs w:val="18"/>
                <w:color w:val="auto"/>
              </w:rPr>
              <w:t>shares relating to stock plans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60" w:type="dxa"/>
            <w:vAlign w:val="bottom"/>
          </w:tcPr>
          <w:p>
            <w:pPr>
              <w:jc w:val="right"/>
              <w:ind w:right="57"/>
              <w:spacing w:after="0"/>
              <w:rPr>
                <w:sz w:val="20"/>
                <w:szCs w:val="20"/>
                <w:color w:val="auto"/>
              </w:rPr>
            </w:pPr>
            <w:r>
              <w:rPr>
                <w:rFonts w:ascii="Arial" w:cs="Arial" w:eastAsia="Arial" w:hAnsi="Arial"/>
                <w:sz w:val="18"/>
                <w:szCs w:val="18"/>
                <w:color w:val="auto"/>
              </w:rPr>
              <w:t>58</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82</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3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8"/>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Diluted EPS attributable to Comcast</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3340" w:type="dxa"/>
            <w:vAlign w:val="bottom"/>
          </w:tcPr>
          <w:p>
            <w:pPr>
              <w:ind w:left="280"/>
              <w:spacing w:after="0"/>
              <w:rPr>
                <w:sz w:val="20"/>
                <w:szCs w:val="20"/>
                <w:color w:val="auto"/>
              </w:rPr>
            </w:pPr>
            <w:r>
              <w:rPr>
                <w:rFonts w:ascii="Arial" w:cs="Arial" w:eastAsia="Arial" w:hAnsi="Arial"/>
                <w:sz w:val="18"/>
                <w:szCs w:val="18"/>
                <w:b w:val="1"/>
                <w:bCs w:val="1"/>
                <w:color w:val="auto"/>
              </w:rPr>
              <w:t>Corporation shareholders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Pr>
          <w:p>
            <w:pPr>
              <w:jc w:val="right"/>
              <w:ind w:right="262"/>
              <w:spacing w:after="0"/>
              <w:rPr>
                <w:sz w:val="20"/>
                <w:szCs w:val="20"/>
                <w:color w:val="auto"/>
              </w:rPr>
            </w:pPr>
            <w:r>
              <w:rPr>
                <w:rFonts w:ascii="Arial" w:cs="Arial" w:eastAsia="Arial" w:hAnsi="Arial"/>
                <w:sz w:val="18"/>
                <w:szCs w:val="18"/>
                <w:b w:val="1"/>
                <w:bCs w:val="1"/>
                <w:color w:val="auto"/>
              </w:rPr>
              <w:t>6,334</w:t>
            </w:r>
          </w:p>
        </w:tc>
        <w:tc>
          <w:tcPr>
            <w:tcW w:w="1160" w:type="dxa"/>
            <w:vAlign w:val="bottom"/>
          </w:tcPr>
          <w:p>
            <w:pPr>
              <w:jc w:val="right"/>
              <w:ind w:right="57"/>
              <w:spacing w:after="0"/>
              <w:rPr>
                <w:sz w:val="20"/>
                <w:szCs w:val="20"/>
                <w:color w:val="auto"/>
              </w:rPr>
            </w:pPr>
            <w:r>
              <w:rPr>
                <w:rFonts w:ascii="Arial" w:cs="Arial" w:eastAsia="Arial" w:hAnsi="Arial"/>
                <w:sz w:val="18"/>
                <w:szCs w:val="18"/>
                <w:b w:val="1"/>
                <w:bCs w:val="1"/>
                <w:color w:val="auto"/>
              </w:rPr>
              <w:t>4,674</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41"/>
              <w:spacing w:after="0"/>
              <w:rPr>
                <w:sz w:val="20"/>
                <w:szCs w:val="20"/>
                <w:color w:val="auto"/>
              </w:rPr>
            </w:pPr>
            <w:r>
              <w:rPr>
                <w:rFonts w:ascii="Arial" w:cs="Arial" w:eastAsia="Arial" w:hAnsi="Arial"/>
                <w:sz w:val="18"/>
                <w:szCs w:val="18"/>
                <w:b w:val="1"/>
                <w:bCs w:val="1"/>
                <w:color w:val="auto"/>
              </w:rPr>
              <w:t>1.36</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242"/>
              <w:spacing w:after="0"/>
              <w:rPr>
                <w:sz w:val="20"/>
                <w:szCs w:val="20"/>
                <w:color w:val="auto"/>
              </w:rPr>
            </w:pPr>
            <w:r>
              <w:rPr>
                <w:rFonts w:ascii="Arial" w:cs="Arial" w:eastAsia="Arial" w:hAnsi="Arial"/>
                <w:sz w:val="18"/>
                <w:szCs w:val="18"/>
                <w:b w:val="1"/>
                <w:bCs w:val="1"/>
                <w:color w:val="auto"/>
              </w:rPr>
              <w:t>5,094</w:t>
            </w:r>
          </w:p>
        </w:tc>
        <w:tc>
          <w:tcPr>
            <w:tcW w:w="1140" w:type="dxa"/>
            <w:vAlign w:val="bottom"/>
          </w:tcPr>
          <w:p>
            <w:pPr>
              <w:jc w:val="right"/>
              <w:ind w:right="37"/>
              <w:spacing w:after="0"/>
              <w:rPr>
                <w:sz w:val="20"/>
                <w:szCs w:val="20"/>
                <w:color w:val="auto"/>
              </w:rPr>
            </w:pPr>
            <w:r>
              <w:rPr>
                <w:rFonts w:ascii="Arial" w:cs="Arial" w:eastAsia="Arial" w:hAnsi="Arial"/>
                <w:sz w:val="18"/>
                <w:szCs w:val="18"/>
                <w:b w:val="1"/>
                <w:bCs w:val="1"/>
                <w:color w:val="auto"/>
              </w:rPr>
              <w:t>4,820</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9"/>
              <w:spacing w:after="0"/>
              <w:rPr>
                <w:sz w:val="20"/>
                <w:szCs w:val="20"/>
                <w:color w:val="auto"/>
              </w:rPr>
            </w:pPr>
            <w:r>
              <w:rPr>
                <w:rFonts w:ascii="Arial" w:cs="Arial" w:eastAsia="Arial" w:hAnsi="Arial"/>
                <w:sz w:val="18"/>
                <w:szCs w:val="18"/>
                <w:b w:val="1"/>
                <w:bCs w:val="1"/>
                <w:color w:val="auto"/>
              </w:rPr>
              <w:t>1.06</w:t>
            </w:r>
          </w:p>
        </w:tc>
      </w:tr>
      <w:tr>
        <w:trPr>
          <w:trHeight w:val="34"/>
        </w:trPr>
        <w:tc>
          <w:tcPr>
            <w:tcW w:w="3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Diluted earnings per common share attributable to Comcast Corporation shareholders (“diluted EPS”) considers the impact of potentially dilutive securities using the treasury stock method. Our potentially dilutive securities include potential common shares related to our stock options and our restricted share units (“RSUs”). The amount of potential common shares related to our share-based compensation plans that were excluded from diluted EPS because their effect would have been antidilutive was not material for the three and six months ended June 30, 2018 and 2017.</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Long-Term Debt</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June 30, 2018, our debt had a carrying value of $64.6 billion and an estimated fair value of $66.0 billion. The estimated fair value of our publicly traded debt was primarily based on Level 1 inputs that use quoted market values for the debt. The estimated fair value of debt for which there are no quoted market prices was based on Level 2 inputs that use interest rates available to us for debt with similar terms and remaining maturities.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80" w:type="dxa"/>
            <w:vAlign w:val="bottom"/>
          </w:tcPr>
          <w:p>
            <w:pPr>
              <w:spacing w:after="0"/>
              <w:rPr>
                <w:sz w:val="20"/>
                <w:szCs w:val="20"/>
                <w:color w:val="auto"/>
              </w:rPr>
            </w:pPr>
          </w:p>
        </w:tc>
        <w:tc>
          <w:tcPr>
            <w:tcW w:w="5220" w:type="dxa"/>
            <w:vAlign w:val="bottom"/>
          </w:tcPr>
          <w:p>
            <w:pPr>
              <w:jc w:val="right"/>
              <w:ind w:right="3370"/>
              <w:spacing w:after="0"/>
              <w:rPr>
                <w:sz w:val="20"/>
                <w:szCs w:val="20"/>
                <w:color w:val="auto"/>
              </w:rPr>
            </w:pPr>
            <w:r>
              <w:rPr>
                <w:rFonts w:ascii="Arial" w:cs="Arial" w:eastAsia="Arial" w:hAnsi="Arial"/>
                <w:sz w:val="18"/>
                <w:szCs w:val="18"/>
                <w:b w:val="1"/>
                <w:bCs w:val="1"/>
                <w:color w:val="auto"/>
              </w:rPr>
              <w:t>Debt Borrowings</w:t>
            </w: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70"/>
        </w:trPr>
        <w:tc>
          <w:tcPr>
            <w:tcW w:w="468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Six Months Ended</w:t>
            </w:r>
          </w:p>
        </w:tc>
      </w:tr>
      <w:tr>
        <w:trPr>
          <w:trHeight w:val="188"/>
        </w:trPr>
        <w:tc>
          <w:tcPr>
            <w:tcW w:w="4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5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color w:val="auto"/>
                <w:w w:val="92"/>
              </w:rPr>
              <w:t>June 30, 2018</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Comcast 3.90% senior notes due 2038</w:t>
            </w:r>
          </w:p>
        </w:tc>
        <w:tc>
          <w:tcPr>
            <w:tcW w:w="52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center"/>
              <w:ind w:left="874"/>
              <w:spacing w:after="0"/>
              <w:rPr>
                <w:sz w:val="20"/>
                <w:szCs w:val="20"/>
                <w:color w:val="auto"/>
              </w:rPr>
            </w:pPr>
            <w:r>
              <w:rPr>
                <w:rFonts w:ascii="Arial" w:cs="Arial" w:eastAsia="Arial" w:hAnsi="Arial"/>
                <w:sz w:val="18"/>
                <w:szCs w:val="18"/>
                <w:color w:val="auto"/>
                <w:w w:val="93"/>
              </w:rPr>
              <w:t>1,200</w:t>
            </w:r>
          </w:p>
        </w:tc>
        <w:tc>
          <w:tcPr>
            <w:tcW w:w="60" w:type="dxa"/>
            <w:vAlign w:val="bottom"/>
          </w:tcPr>
          <w:p>
            <w:pPr>
              <w:spacing w:after="0"/>
              <w:rPr>
                <w:sz w:val="21"/>
                <w:szCs w:val="21"/>
                <w:color w:val="auto"/>
              </w:rPr>
            </w:pPr>
          </w:p>
        </w:tc>
      </w:tr>
      <w:tr>
        <w:trPr>
          <w:trHeight w:val="270"/>
        </w:trPr>
        <w:tc>
          <w:tcPr>
            <w:tcW w:w="4680" w:type="dxa"/>
            <w:vAlign w:val="bottom"/>
          </w:tcPr>
          <w:p>
            <w:pPr>
              <w:ind w:left="40"/>
              <w:spacing w:after="0"/>
              <w:rPr>
                <w:sz w:val="20"/>
                <w:szCs w:val="20"/>
                <w:color w:val="auto"/>
              </w:rPr>
            </w:pPr>
            <w:r>
              <w:rPr>
                <w:rFonts w:ascii="Arial" w:cs="Arial" w:eastAsia="Arial" w:hAnsi="Arial"/>
                <w:sz w:val="18"/>
                <w:szCs w:val="18"/>
                <w:color w:val="auto"/>
              </w:rPr>
              <w:t>Comcast 3.55% senior notes due 2028</w:t>
            </w:r>
          </w:p>
        </w:tc>
        <w:tc>
          <w:tcPr>
            <w:tcW w:w="5220" w:type="dxa"/>
            <w:vAlign w:val="bottom"/>
          </w:tcPr>
          <w:p>
            <w:pPr>
              <w:spacing w:after="0"/>
              <w:rPr>
                <w:sz w:val="23"/>
                <w:szCs w:val="23"/>
                <w:color w:val="auto"/>
              </w:rPr>
            </w:pPr>
          </w:p>
        </w:tc>
        <w:tc>
          <w:tcPr>
            <w:tcW w:w="1460" w:type="dxa"/>
            <w:vAlign w:val="bottom"/>
          </w:tcPr>
          <w:p>
            <w:pPr>
              <w:jc w:val="center"/>
              <w:ind w:left="874"/>
              <w:spacing w:after="0"/>
              <w:rPr>
                <w:sz w:val="20"/>
                <w:szCs w:val="20"/>
                <w:color w:val="auto"/>
              </w:rPr>
            </w:pPr>
            <w:r>
              <w:rPr>
                <w:rFonts w:ascii="Arial" w:cs="Arial" w:eastAsia="Arial" w:hAnsi="Arial"/>
                <w:sz w:val="18"/>
                <w:szCs w:val="18"/>
                <w:color w:val="auto"/>
                <w:w w:val="93"/>
              </w:rPr>
              <w:t>1,000</w:t>
            </w:r>
          </w:p>
        </w:tc>
        <w:tc>
          <w:tcPr>
            <w:tcW w:w="60" w:type="dxa"/>
            <w:vAlign w:val="bottom"/>
          </w:tcPr>
          <w:p>
            <w:pPr>
              <w:spacing w:after="0"/>
              <w:rPr>
                <w:sz w:val="23"/>
                <w:szCs w:val="23"/>
                <w:color w:val="auto"/>
              </w:rPr>
            </w:pPr>
          </w:p>
        </w:tc>
      </w:tr>
      <w:tr>
        <w:trPr>
          <w:trHeight w:val="270"/>
        </w:trPr>
        <w:tc>
          <w:tcPr>
            <w:tcW w:w="4680" w:type="dxa"/>
            <w:vAlign w:val="bottom"/>
          </w:tcPr>
          <w:p>
            <w:pPr>
              <w:ind w:left="40"/>
              <w:spacing w:after="0"/>
              <w:rPr>
                <w:sz w:val="20"/>
                <w:szCs w:val="20"/>
                <w:color w:val="auto"/>
              </w:rPr>
            </w:pPr>
            <w:r>
              <w:rPr>
                <w:rFonts w:ascii="Arial" w:cs="Arial" w:eastAsia="Arial" w:hAnsi="Arial"/>
                <w:sz w:val="18"/>
                <w:szCs w:val="18"/>
                <w:color w:val="auto"/>
              </w:rPr>
              <w:t>Comcast 4.00% senior notes due 2048</w:t>
            </w:r>
          </w:p>
        </w:tc>
        <w:tc>
          <w:tcPr>
            <w:tcW w:w="5220" w:type="dxa"/>
            <w:vAlign w:val="bottom"/>
          </w:tcPr>
          <w:p>
            <w:pPr>
              <w:spacing w:after="0"/>
              <w:rPr>
                <w:sz w:val="23"/>
                <w:szCs w:val="23"/>
                <w:color w:val="auto"/>
              </w:rPr>
            </w:pPr>
          </w:p>
        </w:tc>
        <w:tc>
          <w:tcPr>
            <w:tcW w:w="1460" w:type="dxa"/>
            <w:vAlign w:val="bottom"/>
          </w:tcPr>
          <w:p>
            <w:pPr>
              <w:jc w:val="center"/>
              <w:ind w:left="874"/>
              <w:spacing w:after="0"/>
              <w:rPr>
                <w:sz w:val="20"/>
                <w:szCs w:val="20"/>
                <w:color w:val="auto"/>
              </w:rPr>
            </w:pPr>
            <w:r>
              <w:rPr>
                <w:rFonts w:ascii="Arial" w:cs="Arial" w:eastAsia="Arial" w:hAnsi="Arial"/>
                <w:sz w:val="18"/>
                <w:szCs w:val="18"/>
                <w:color w:val="auto"/>
                <w:w w:val="93"/>
              </w:rPr>
              <w:t>1,000</w:t>
            </w:r>
          </w:p>
        </w:tc>
        <w:tc>
          <w:tcPr>
            <w:tcW w:w="60" w:type="dxa"/>
            <w:vAlign w:val="bottom"/>
          </w:tcPr>
          <w:p>
            <w:pPr>
              <w:spacing w:after="0"/>
              <w:rPr>
                <w:sz w:val="23"/>
                <w:szCs w:val="23"/>
                <w:color w:val="auto"/>
              </w:rPr>
            </w:pPr>
          </w:p>
        </w:tc>
      </w:tr>
      <w:tr>
        <w:trPr>
          <w:trHeight w:val="270"/>
        </w:trPr>
        <w:tc>
          <w:tcPr>
            <w:tcW w:w="4680" w:type="dxa"/>
            <w:vAlign w:val="bottom"/>
          </w:tcPr>
          <w:p>
            <w:pPr>
              <w:ind w:left="40"/>
              <w:spacing w:after="0"/>
              <w:rPr>
                <w:sz w:val="20"/>
                <w:szCs w:val="20"/>
                <w:color w:val="auto"/>
              </w:rPr>
            </w:pPr>
            <w:r>
              <w:rPr>
                <w:rFonts w:ascii="Arial" w:cs="Arial" w:eastAsia="Arial" w:hAnsi="Arial"/>
                <w:sz w:val="18"/>
                <w:szCs w:val="18"/>
                <w:color w:val="auto"/>
              </w:rPr>
              <w:t>Comcast 4.25% senior notes due 2053</w:t>
            </w:r>
          </w:p>
        </w:tc>
        <w:tc>
          <w:tcPr>
            <w:tcW w:w="52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800</w:t>
            </w:r>
          </w:p>
        </w:tc>
        <w:tc>
          <w:tcPr>
            <w:tcW w:w="60" w:type="dxa"/>
            <w:vAlign w:val="bottom"/>
          </w:tcPr>
          <w:p>
            <w:pPr>
              <w:spacing w:after="0"/>
              <w:rPr>
                <w:sz w:val="23"/>
                <w:szCs w:val="23"/>
                <w:color w:val="auto"/>
              </w:rPr>
            </w:pPr>
          </w:p>
        </w:tc>
      </w:tr>
      <w:tr>
        <w:trPr>
          <w:trHeight w:val="270"/>
        </w:trPr>
        <w:tc>
          <w:tcPr>
            <w:tcW w:w="4680" w:type="dxa"/>
            <w:vAlign w:val="bottom"/>
          </w:tcPr>
          <w:p>
            <w:pPr>
              <w:ind w:left="40"/>
              <w:spacing w:after="0"/>
              <w:rPr>
                <w:sz w:val="20"/>
                <w:szCs w:val="20"/>
                <w:color w:val="auto"/>
              </w:rPr>
            </w:pPr>
            <w:r>
              <w:rPr>
                <w:rFonts w:ascii="Arial" w:cs="Arial" w:eastAsia="Arial" w:hAnsi="Arial"/>
                <w:sz w:val="18"/>
                <w:szCs w:val="18"/>
                <w:color w:val="auto"/>
              </w:rPr>
              <w:t>Universal Beijing Resort term loans (see Note 6)</w:t>
            </w:r>
          </w:p>
        </w:tc>
        <w:tc>
          <w:tcPr>
            <w:tcW w:w="52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235</w:t>
            </w:r>
          </w:p>
        </w:tc>
        <w:tc>
          <w:tcPr>
            <w:tcW w:w="60" w:type="dxa"/>
            <w:vAlign w:val="bottom"/>
          </w:tcPr>
          <w:p>
            <w:pPr>
              <w:spacing w:after="0"/>
              <w:rPr>
                <w:sz w:val="23"/>
                <w:szCs w:val="23"/>
                <w:color w:val="auto"/>
              </w:rPr>
            </w:pPr>
          </w:p>
        </w:tc>
      </w:tr>
      <w:tr>
        <w:trPr>
          <w:trHeight w:val="270"/>
        </w:trPr>
        <w:tc>
          <w:tcPr>
            <w:tcW w:w="4680" w:type="dxa"/>
            <w:vAlign w:val="bottom"/>
          </w:tcPr>
          <w:p>
            <w:pPr>
              <w:ind w:left="40"/>
              <w:spacing w:after="0"/>
              <w:rPr>
                <w:sz w:val="20"/>
                <w:szCs w:val="20"/>
                <w:color w:val="auto"/>
              </w:rPr>
            </w:pPr>
            <w:r>
              <w:rPr>
                <w:rFonts w:ascii="Arial" w:cs="Arial" w:eastAsia="Arial" w:hAnsi="Arial"/>
                <w:sz w:val="18"/>
                <w:szCs w:val="18"/>
                <w:color w:val="auto"/>
              </w:rPr>
              <w:t>Other</w:t>
            </w:r>
          </w:p>
        </w:tc>
        <w:tc>
          <w:tcPr>
            <w:tcW w:w="52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23"/>
                <w:szCs w:val="23"/>
                <w:color w:val="auto"/>
              </w:rPr>
            </w:pPr>
          </w:p>
        </w:tc>
      </w:tr>
      <w:tr>
        <w:trPr>
          <w:trHeight w:val="27"/>
        </w:trPr>
        <w:tc>
          <w:tcPr>
            <w:tcW w:w="468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5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Pr>
          <w:p>
            <w:pPr>
              <w:jc w:val="center"/>
              <w:ind w:left="874"/>
              <w:spacing w:after="0"/>
              <w:rPr>
                <w:sz w:val="20"/>
                <w:szCs w:val="20"/>
                <w:color w:val="auto"/>
              </w:rPr>
            </w:pPr>
            <w:r>
              <w:rPr>
                <w:rFonts w:ascii="Arial" w:cs="Arial" w:eastAsia="Arial" w:hAnsi="Arial"/>
                <w:sz w:val="18"/>
                <w:szCs w:val="18"/>
                <w:b w:val="1"/>
                <w:bCs w:val="1"/>
                <w:color w:val="auto"/>
                <w:w w:val="93"/>
              </w:rPr>
              <w:t>4,279</w:t>
            </w:r>
          </w:p>
        </w:tc>
        <w:tc>
          <w:tcPr>
            <w:tcW w:w="60" w:type="dxa"/>
            <w:vAlign w:val="bottom"/>
          </w:tcPr>
          <w:p>
            <w:pPr>
              <w:spacing w:after="0"/>
              <w:rPr>
                <w:sz w:val="20"/>
                <w:szCs w:val="20"/>
                <w:color w:val="auto"/>
              </w:rPr>
            </w:pPr>
          </w:p>
        </w:tc>
      </w:tr>
      <w:tr>
        <w:trPr>
          <w:trHeight w:val="34"/>
        </w:trPr>
        <w:tc>
          <w:tcPr>
            <w:tcW w:w="468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500"/>
        </w:trPr>
        <w:tc>
          <w:tcPr>
            <w:tcW w:w="4680" w:type="dxa"/>
            <w:vAlign w:val="bottom"/>
          </w:tcPr>
          <w:p>
            <w:pPr>
              <w:spacing w:after="0"/>
              <w:rPr>
                <w:sz w:val="24"/>
                <w:szCs w:val="24"/>
                <w:color w:val="auto"/>
              </w:rPr>
            </w:pPr>
          </w:p>
        </w:tc>
        <w:tc>
          <w:tcPr>
            <w:tcW w:w="5220" w:type="dxa"/>
            <w:vAlign w:val="bottom"/>
          </w:tcPr>
          <w:p>
            <w:pPr>
              <w:jc w:val="right"/>
              <w:ind w:right="3370"/>
              <w:spacing w:after="0"/>
              <w:rPr>
                <w:sz w:val="20"/>
                <w:szCs w:val="20"/>
                <w:color w:val="auto"/>
              </w:rPr>
            </w:pPr>
            <w:r>
              <w:rPr>
                <w:rFonts w:ascii="Arial" w:cs="Arial" w:eastAsia="Arial" w:hAnsi="Arial"/>
                <w:sz w:val="18"/>
                <w:szCs w:val="18"/>
                <w:b w:val="1"/>
                <w:bCs w:val="1"/>
                <w:color w:val="auto"/>
              </w:rPr>
              <w:t>Debt Repayments</w:t>
            </w: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0"/>
        </w:trPr>
        <w:tc>
          <w:tcPr>
            <w:tcW w:w="468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color w:val="auto"/>
                <w:w w:val="95"/>
              </w:rPr>
              <w:t>Six Months Ended</w:t>
            </w:r>
          </w:p>
        </w:tc>
      </w:tr>
      <w:tr>
        <w:trPr>
          <w:trHeight w:val="188"/>
        </w:trPr>
        <w:tc>
          <w:tcPr>
            <w:tcW w:w="468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5220" w:type="dxa"/>
            <w:vAlign w:val="bottom"/>
          </w:tcPr>
          <w:p>
            <w:pPr>
              <w:spacing w:after="0"/>
              <w:rPr>
                <w:sz w:val="16"/>
                <w:szCs w:val="16"/>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June 30, 2018</w:t>
            </w:r>
          </w:p>
        </w:tc>
      </w:tr>
      <w:tr>
        <w:trPr>
          <w:trHeight w:val="243"/>
        </w:trPr>
        <w:tc>
          <w:tcPr>
            <w:tcW w:w="46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NBCUniversal Enterprise 1.662% senior notes due 2018</w:t>
            </w:r>
          </w:p>
        </w:tc>
        <w:tc>
          <w:tcPr>
            <w:tcW w:w="52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1,100</w:t>
            </w:r>
          </w:p>
        </w:tc>
        <w:tc>
          <w:tcPr>
            <w:tcW w:w="60" w:type="dxa"/>
            <w:vAlign w:val="bottom"/>
          </w:tcPr>
          <w:p>
            <w:pPr>
              <w:spacing w:after="0"/>
              <w:rPr>
                <w:sz w:val="21"/>
                <w:szCs w:val="21"/>
                <w:color w:val="auto"/>
              </w:rPr>
            </w:pPr>
          </w:p>
        </w:tc>
      </w:tr>
      <w:tr>
        <w:trPr>
          <w:trHeight w:val="270"/>
        </w:trPr>
        <w:tc>
          <w:tcPr>
            <w:tcW w:w="4680" w:type="dxa"/>
            <w:vAlign w:val="bottom"/>
          </w:tcPr>
          <w:p>
            <w:pPr>
              <w:ind w:left="40"/>
              <w:spacing w:after="0"/>
              <w:rPr>
                <w:sz w:val="20"/>
                <w:szCs w:val="20"/>
                <w:color w:val="auto"/>
              </w:rPr>
            </w:pPr>
            <w:r>
              <w:rPr>
                <w:rFonts w:ascii="Arial" w:cs="Arial" w:eastAsia="Arial" w:hAnsi="Arial"/>
                <w:sz w:val="18"/>
                <w:szCs w:val="18"/>
                <w:color w:val="auto"/>
              </w:rPr>
              <w:t>Comcast 5.70% senior notes due 2018</w:t>
            </w:r>
          </w:p>
        </w:tc>
        <w:tc>
          <w:tcPr>
            <w:tcW w:w="5220" w:type="dxa"/>
            <w:vAlign w:val="bottom"/>
          </w:tcPr>
          <w:p>
            <w:pPr>
              <w:spacing w:after="0"/>
              <w:rPr>
                <w:sz w:val="23"/>
                <w:szCs w:val="23"/>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23"/>
                <w:szCs w:val="23"/>
                <w:color w:val="auto"/>
              </w:rPr>
            </w:pPr>
          </w:p>
        </w:tc>
      </w:tr>
      <w:tr>
        <w:trPr>
          <w:trHeight w:val="270"/>
        </w:trPr>
        <w:tc>
          <w:tcPr>
            <w:tcW w:w="4680" w:type="dxa"/>
            <w:vAlign w:val="bottom"/>
          </w:tcPr>
          <w:p>
            <w:pPr>
              <w:ind w:left="40"/>
              <w:spacing w:after="0"/>
              <w:rPr>
                <w:sz w:val="20"/>
                <w:szCs w:val="20"/>
                <w:color w:val="auto"/>
              </w:rPr>
            </w:pPr>
            <w:r>
              <w:rPr>
                <w:rFonts w:ascii="Arial" w:cs="Arial" w:eastAsia="Arial" w:hAnsi="Arial"/>
                <w:sz w:val="18"/>
                <w:szCs w:val="18"/>
                <w:color w:val="auto"/>
              </w:rPr>
              <w:t>Comcast 5.875% senior notes due 2018</w:t>
            </w:r>
          </w:p>
        </w:tc>
        <w:tc>
          <w:tcPr>
            <w:tcW w:w="5220" w:type="dxa"/>
            <w:vAlign w:val="bottom"/>
          </w:tcPr>
          <w:p>
            <w:pPr>
              <w:spacing w:after="0"/>
              <w:rPr>
                <w:sz w:val="23"/>
                <w:szCs w:val="23"/>
                <w:color w:val="auto"/>
              </w:rPr>
            </w:pPr>
          </w:p>
        </w:tc>
        <w:tc>
          <w:tcPr>
            <w:tcW w:w="1460" w:type="dxa"/>
            <w:vAlign w:val="bottom"/>
          </w:tcPr>
          <w:p>
            <w:pPr>
              <w:jc w:val="center"/>
              <w:ind w:left="874"/>
              <w:spacing w:after="0"/>
              <w:rPr>
                <w:sz w:val="20"/>
                <w:szCs w:val="20"/>
                <w:color w:val="auto"/>
              </w:rPr>
            </w:pPr>
            <w:r>
              <w:rPr>
                <w:rFonts w:ascii="Arial" w:cs="Arial" w:eastAsia="Arial" w:hAnsi="Arial"/>
                <w:sz w:val="18"/>
                <w:szCs w:val="18"/>
                <w:color w:val="auto"/>
                <w:w w:val="86"/>
              </w:rPr>
              <w:t>900</w:t>
            </w:r>
          </w:p>
        </w:tc>
        <w:tc>
          <w:tcPr>
            <w:tcW w:w="60" w:type="dxa"/>
            <w:vAlign w:val="bottom"/>
          </w:tcPr>
          <w:p>
            <w:pPr>
              <w:spacing w:after="0"/>
              <w:rPr>
                <w:sz w:val="23"/>
                <w:szCs w:val="23"/>
                <w:color w:val="auto"/>
              </w:rPr>
            </w:pPr>
          </w:p>
        </w:tc>
      </w:tr>
      <w:tr>
        <w:trPr>
          <w:trHeight w:val="270"/>
        </w:trPr>
        <w:tc>
          <w:tcPr>
            <w:tcW w:w="4680" w:type="dxa"/>
            <w:vAlign w:val="bottom"/>
          </w:tcPr>
          <w:p>
            <w:pPr>
              <w:ind w:left="40"/>
              <w:spacing w:after="0"/>
              <w:rPr>
                <w:sz w:val="20"/>
                <w:szCs w:val="20"/>
                <w:color w:val="auto"/>
              </w:rPr>
            </w:pPr>
            <w:r>
              <w:rPr>
                <w:rFonts w:ascii="Arial" w:cs="Arial" w:eastAsia="Arial" w:hAnsi="Arial"/>
                <w:sz w:val="18"/>
                <w:szCs w:val="18"/>
                <w:color w:val="auto"/>
                <w:w w:val="95"/>
              </w:rPr>
              <w:t>NBCUniversal Enterprise senior floating rate notes due 2018</w:t>
            </w:r>
          </w:p>
        </w:tc>
        <w:tc>
          <w:tcPr>
            <w:tcW w:w="5220" w:type="dxa"/>
            <w:vAlign w:val="bottom"/>
          </w:tcPr>
          <w:p>
            <w:pPr>
              <w:spacing w:after="0"/>
              <w:rPr>
                <w:sz w:val="23"/>
                <w:szCs w:val="23"/>
                <w:color w:val="auto"/>
              </w:rPr>
            </w:pPr>
          </w:p>
        </w:tc>
        <w:tc>
          <w:tcPr>
            <w:tcW w:w="1460" w:type="dxa"/>
            <w:vAlign w:val="bottom"/>
          </w:tcPr>
          <w:p>
            <w:pPr>
              <w:jc w:val="center"/>
              <w:ind w:left="874"/>
              <w:spacing w:after="0"/>
              <w:rPr>
                <w:sz w:val="20"/>
                <w:szCs w:val="20"/>
                <w:color w:val="auto"/>
              </w:rPr>
            </w:pPr>
            <w:r>
              <w:rPr>
                <w:rFonts w:ascii="Arial" w:cs="Arial" w:eastAsia="Arial" w:hAnsi="Arial"/>
                <w:sz w:val="18"/>
                <w:szCs w:val="18"/>
                <w:color w:val="auto"/>
                <w:w w:val="86"/>
              </w:rPr>
              <w:t>700</w:t>
            </w:r>
          </w:p>
        </w:tc>
        <w:tc>
          <w:tcPr>
            <w:tcW w:w="60" w:type="dxa"/>
            <w:vAlign w:val="bottom"/>
          </w:tcPr>
          <w:p>
            <w:pPr>
              <w:spacing w:after="0"/>
              <w:rPr>
                <w:sz w:val="23"/>
                <w:szCs w:val="23"/>
                <w:color w:val="auto"/>
              </w:rPr>
            </w:pPr>
          </w:p>
        </w:tc>
      </w:tr>
      <w:tr>
        <w:trPr>
          <w:trHeight w:val="270"/>
        </w:trPr>
        <w:tc>
          <w:tcPr>
            <w:tcW w:w="4680" w:type="dxa"/>
            <w:vAlign w:val="bottom"/>
          </w:tcPr>
          <w:p>
            <w:pPr>
              <w:ind w:left="40"/>
              <w:spacing w:after="0"/>
              <w:rPr>
                <w:sz w:val="20"/>
                <w:szCs w:val="20"/>
                <w:color w:val="auto"/>
              </w:rPr>
            </w:pPr>
            <w:r>
              <w:rPr>
                <w:rFonts w:ascii="Arial" w:cs="Arial" w:eastAsia="Arial" w:hAnsi="Arial"/>
                <w:sz w:val="18"/>
                <w:szCs w:val="18"/>
                <w:color w:val="auto"/>
              </w:rPr>
              <w:t>Universal Studios Japan term loans maturing 2022</w:t>
            </w:r>
          </w:p>
        </w:tc>
        <w:tc>
          <w:tcPr>
            <w:tcW w:w="5220" w:type="dxa"/>
            <w:vAlign w:val="bottom"/>
          </w:tcPr>
          <w:p>
            <w:pPr>
              <w:spacing w:after="0"/>
              <w:rPr>
                <w:sz w:val="23"/>
                <w:szCs w:val="23"/>
                <w:color w:val="auto"/>
              </w:rPr>
            </w:pPr>
          </w:p>
        </w:tc>
        <w:tc>
          <w:tcPr>
            <w:tcW w:w="1460" w:type="dxa"/>
            <w:vAlign w:val="bottom"/>
          </w:tcPr>
          <w:p>
            <w:pPr>
              <w:jc w:val="center"/>
              <w:ind w:left="874"/>
              <w:spacing w:after="0"/>
              <w:rPr>
                <w:sz w:val="20"/>
                <w:szCs w:val="20"/>
                <w:color w:val="auto"/>
              </w:rPr>
            </w:pPr>
            <w:r>
              <w:rPr>
                <w:rFonts w:ascii="Arial" w:cs="Arial" w:eastAsia="Arial" w:hAnsi="Arial"/>
                <w:sz w:val="18"/>
                <w:szCs w:val="18"/>
                <w:color w:val="auto"/>
                <w:w w:val="86"/>
              </w:rPr>
              <w:t>318</w:t>
            </w:r>
          </w:p>
        </w:tc>
        <w:tc>
          <w:tcPr>
            <w:tcW w:w="60" w:type="dxa"/>
            <w:vAlign w:val="bottom"/>
          </w:tcPr>
          <w:p>
            <w:pPr>
              <w:spacing w:after="0"/>
              <w:rPr>
                <w:sz w:val="23"/>
                <w:szCs w:val="23"/>
                <w:color w:val="auto"/>
              </w:rPr>
            </w:pPr>
          </w:p>
        </w:tc>
      </w:tr>
      <w:tr>
        <w:trPr>
          <w:trHeight w:val="270"/>
        </w:trPr>
        <w:tc>
          <w:tcPr>
            <w:tcW w:w="4680" w:type="dxa"/>
            <w:vAlign w:val="bottom"/>
          </w:tcPr>
          <w:p>
            <w:pPr>
              <w:ind w:left="40"/>
              <w:spacing w:after="0"/>
              <w:rPr>
                <w:sz w:val="20"/>
                <w:szCs w:val="20"/>
                <w:color w:val="auto"/>
              </w:rPr>
            </w:pPr>
            <w:r>
              <w:rPr>
                <w:rFonts w:ascii="Arial" w:cs="Arial" w:eastAsia="Arial" w:hAnsi="Arial"/>
                <w:sz w:val="18"/>
                <w:szCs w:val="18"/>
                <w:color w:val="auto"/>
              </w:rPr>
              <w:t>Other</w:t>
            </w:r>
          </w:p>
        </w:tc>
        <w:tc>
          <w:tcPr>
            <w:tcW w:w="5220" w:type="dxa"/>
            <w:vAlign w:val="bottom"/>
          </w:tcPr>
          <w:p>
            <w:pPr>
              <w:spacing w:after="0"/>
              <w:rPr>
                <w:sz w:val="23"/>
                <w:szCs w:val="23"/>
                <w:color w:val="auto"/>
              </w:rPr>
            </w:pPr>
          </w:p>
        </w:tc>
        <w:tc>
          <w:tcPr>
            <w:tcW w:w="1460" w:type="dxa"/>
            <w:vAlign w:val="bottom"/>
          </w:tcPr>
          <w:p>
            <w:pPr>
              <w:jc w:val="center"/>
              <w:ind w:left="874"/>
              <w:spacing w:after="0"/>
              <w:rPr>
                <w:sz w:val="20"/>
                <w:szCs w:val="20"/>
                <w:color w:val="auto"/>
              </w:rPr>
            </w:pPr>
            <w:r>
              <w:rPr>
                <w:rFonts w:ascii="Arial" w:cs="Arial" w:eastAsia="Arial" w:hAnsi="Arial"/>
                <w:sz w:val="18"/>
                <w:szCs w:val="18"/>
                <w:color w:val="auto"/>
                <w:w w:val="86"/>
              </w:rPr>
              <w:t>329</w:t>
            </w:r>
          </w:p>
        </w:tc>
        <w:tc>
          <w:tcPr>
            <w:tcW w:w="60" w:type="dxa"/>
            <w:vAlign w:val="bottom"/>
          </w:tcPr>
          <w:p>
            <w:pPr>
              <w:spacing w:after="0"/>
              <w:rPr>
                <w:sz w:val="23"/>
                <w:szCs w:val="23"/>
                <w:color w:val="auto"/>
              </w:rPr>
            </w:pPr>
          </w:p>
        </w:tc>
      </w:tr>
      <w:tr>
        <w:trPr>
          <w:trHeight w:val="27"/>
        </w:trPr>
        <w:tc>
          <w:tcPr>
            <w:tcW w:w="468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52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460" w:type="dxa"/>
            <w:vAlign w:val="bottom"/>
          </w:tcPr>
          <w:p>
            <w:pPr>
              <w:jc w:val="right"/>
              <w:ind w:right="34"/>
              <w:spacing w:after="0"/>
              <w:rPr>
                <w:sz w:val="20"/>
                <w:szCs w:val="20"/>
                <w:color w:val="auto"/>
              </w:rPr>
            </w:pPr>
            <w:r>
              <w:rPr>
                <w:rFonts w:ascii="Arial" w:cs="Arial" w:eastAsia="Arial" w:hAnsi="Arial"/>
                <w:sz w:val="18"/>
                <w:szCs w:val="18"/>
                <w:b w:val="1"/>
                <w:bCs w:val="1"/>
                <w:color w:val="auto"/>
              </w:rPr>
              <w:t>4,347</w:t>
            </w:r>
          </w:p>
        </w:tc>
        <w:tc>
          <w:tcPr>
            <w:tcW w:w="60" w:type="dxa"/>
            <w:vAlign w:val="bottom"/>
          </w:tcPr>
          <w:p>
            <w:pPr>
              <w:spacing w:after="0"/>
              <w:rPr>
                <w:sz w:val="20"/>
                <w:szCs w:val="20"/>
                <w:color w:val="auto"/>
              </w:rPr>
            </w:pPr>
          </w:p>
        </w:tc>
      </w:tr>
      <w:tr>
        <w:trPr>
          <w:trHeight w:val="34"/>
        </w:trPr>
        <w:tc>
          <w:tcPr>
            <w:tcW w:w="468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Facilities</w:t>
      </w:r>
    </w:p>
    <w:p>
      <w:pPr>
        <w:spacing w:after="0" w:line="8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As of June 30, 2018, amounts available under our consolidated revolving credit facilities, net of amounts outstanding under our commercial paper programs and outstanding letters of credit, totaled $7.5 billion, which included $573 million available under NBCUniversal Enterprise’s revolving credit facility.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Paper Programs</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2018, NBCUniversal Enterprise had $927 million face amount of commercial paper outstanding. As of June 30, 2018, there were no amounts outstanding under the Comcast commercial paper program.</w:t>
      </w:r>
    </w:p>
    <w:p>
      <w:pPr>
        <w:sectPr>
          <w:pgSz w:w="11900" w:h="16838" w:orient="portrait"/>
          <w:cols w:equalWidth="0" w:num="1">
            <w:col w:w="11420"/>
          </w:cols>
          <w:pgMar w:left="240" w:top="121" w:right="239" w:bottom="1440" w:gutter="0" w:footer="0" w:header="0"/>
        </w:sect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1"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Significant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 Offer</w:t>
      </w:r>
    </w:p>
    <w:p>
      <w:pPr>
        <w:spacing w:after="0" w:line="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July 11, 2018, we announced an increased cash offer for the entire issued and to be issued share capital of Sky plc, which was recommended by the Sky Independent Committee. Pursuant to the increased offer, Sky shareholders will be entitled to receive £14.75 in cash for each Sky share (implying a value of approximately £26 billion, or $34 billion using the exchange rate at the time of the announcement of the increased offer, for the fully diluted share capital of Sky). If our offer is successful, completion is expected to occur before the usual date for declaration and payment of the final dividend for Sky’s fiscal year ended June 30, 2018, so the increased offer price includes an amount in lieu of any such dividend. The offer is subject to the satisfaction (or waiver, where applicable) of certain conditions, including receipt of antitrust and regulatory approvals and securing acceptances carrying more than 50% of the voting rights then normally exercisable at a general meeting of Sky. We have already received relevant regulatory approvals in the European Union, Austria, Germany, Italy and Jersey. We expect to complete the acquisition of Sky before the end of October 2018 if these conditions are satisfied or waived, as applicable.</w:t>
      </w:r>
    </w:p>
    <w:p>
      <w:pPr>
        <w:spacing w:after="0" w:line="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our offer, the original terms of which were announced on April 25, 2018, we have entered into an unsecured bridge credit agreement in an aggregate principal amount of up to £16 billion and an unsecured term loan credit agreement in an aggregate principal amount of up to £7 billion ($22 billion and $10 billion, respectively, using the exchange rate at the time of announcement of the original terms of the offer), which will be guaranteed by Comcast Cable Communications, LLC and NBCUniversal. In addition, proceeds from borrowings under our existing $7 billion revolving credit facility are available to finance the cash consideration payable under the offer.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Beijing Resort</w:t>
      </w:r>
    </w:p>
    <w:p>
      <w:pPr>
        <w:spacing w:after="0" w:line="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entered into an agreement with a consortium of Chinese state-owned companies to build and operate a Universal theme park and resort in Beijing, China (“Universal Beijing Resort”). We own a 30% interest in Universal Beijing Resort and the construction will be funded through a combination of debt financing and equity contributions from the investors in accordance with their equity interests. The debt financing, which is being provided by a syndicate of Chinese financial institutions, contains certain financial and operating covenants and a maximum borrowing limit of ¥26.6 billion RMB (approximately $4 billion as of quarter end). The debt financing is secured by the assets of Universal Beijing Resort and the equity interests of the investors. In June 2018, Universal Beijing Resort borrowed $235 million of term loans under the debt financing agreements.</w:t>
      </w:r>
    </w:p>
    <w:p>
      <w:pPr>
        <w:spacing w:after="0" w:line="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concluded that Universal Beijing Resort is a variable interest entity based on its governance structure, and we consolidate it because we have the power to direct activities that most significantly impact its economic performance. There are no liquidity arrangements, guarantees or other financial commitments between us and Universal Beijing Resort, and therefore our maximum risk of financial loss is our 30% interest. Universal Beijing Resort’s results of operations are reported in our Theme Parks segment. Our condensed consolidated statement of cash flows includes the costs of construction and related borrowings in the "construction of Universal Beijing Resort" and "proceeds from borrowings" captions, respectively, and equity contributions from our investing partner are included in other financing activities.</w:t>
      </w:r>
    </w:p>
    <w:p>
      <w:pPr>
        <w:spacing w:after="0" w:line="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2018, Universal Beijing Resort received initial equity investments through a combination of cash and noncash contributions from the investors. As of June 30, 2018, our condensed consolidated balance sheet included assets, primarily property and equipment, and liabilities, including the term loans, of Universal Beijing Resort totaling $1.2 billion and $587 million, respectively.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Studios Japan</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6, 2017, we acquired the remaining interests in Universal Studios Japan that we did not already own for $2.3 billion. The acquisition was funded through cash on hand and borrowings under our commercial paper program. Because we maintained control of Universal Studios Japan, the difference between the consideration transferred and the recorded value of the noncontrolling interests, as well as the related tax and accumulated other comprehensive income impacts, were recorded to additional paid-in capital.</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Recent Accounting Pronouncements and Tax Reform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2014, the Financial Accounting Standards Board (“FASB”) updated the accounting guidance related to revenue recognition. The updated accounting guidance provides a single, contract-based revenue recognition model to help improve financial reporting by providing clearer guidance on when an entity should recognize revenue and by reducing the number of standards to which an entity has to refer. The core principle of the new standard is that a company should recognize revenue to depict the transfer of promised goods or services to customers in an amount that reflects the consideration to which the company expects to be entitled in exchange for those goods or services.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adopted the updated guidance on January 1, 2018 on a full retrospective basis, which required us to reflect the impact of the updated guidance for all periods presented. Upon adoption, we also implemented changes in our presentation of certain revenues and expenses, primarily in our Cable Communications segment.</w:t>
      </w:r>
    </w:p>
    <w:p>
      <w:pPr>
        <w:spacing w:after="0" w:line="33"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The adoption of the new standard did not have a material impact on our consolidated results of operations or financial position for any period presented. The updated guidance also requires additional disclosures regarding the nature, timing and uncertainty of our revenue transactions (see Note 3).</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tables below present the effects on our condensed consolidated statement of income and balance sheet for the prior year periods presented.</w:t>
      </w:r>
    </w:p>
    <w:p>
      <w:pPr>
        <w:spacing w:after="0" w:line="18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 June 30, 2017</w:t>
            </w:r>
          </w:p>
        </w:tc>
        <w:tc>
          <w:tcPr>
            <w:tcW w:w="9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Six Months Ended June 30, 2017</w:t>
            </w:r>
          </w:p>
        </w:tc>
        <w:tc>
          <w:tcPr>
            <w:tcW w:w="860" w:type="dxa"/>
            <w:vAlign w:val="bottom"/>
            <w:tcBorders>
              <w:bottom w:val="single" w:sz="8" w:color="auto"/>
            </w:tcBorders>
          </w:tcPr>
          <w:p>
            <w:pPr>
              <w:spacing w:after="0"/>
              <w:rPr>
                <w:sz w:val="16"/>
                <w:szCs w:val="16"/>
                <w:color w:val="auto"/>
              </w:rPr>
            </w:pPr>
          </w:p>
        </w:tc>
      </w:tr>
      <w:tr>
        <w:trPr>
          <w:trHeight w:val="156"/>
        </w:trPr>
        <w:tc>
          <w:tcPr>
            <w:tcW w:w="3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Previously</w:t>
            </w:r>
          </w:p>
        </w:tc>
        <w:tc>
          <w:tcPr>
            <w:tcW w:w="400" w:type="dxa"/>
            <w:vAlign w:val="bottom"/>
          </w:tcPr>
          <w:p>
            <w:pPr>
              <w:spacing w:after="0"/>
              <w:rPr>
                <w:sz w:val="13"/>
                <w:szCs w:val="13"/>
                <w:color w:val="auto"/>
              </w:rPr>
            </w:pP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Effects of</w:t>
            </w: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Previously</w:t>
            </w:r>
          </w:p>
        </w:tc>
        <w:tc>
          <w:tcPr>
            <w:tcW w:w="400" w:type="dxa"/>
            <w:vAlign w:val="bottom"/>
          </w:tcPr>
          <w:p>
            <w:pPr>
              <w:spacing w:after="0"/>
              <w:rPr>
                <w:sz w:val="13"/>
                <w:szCs w:val="13"/>
                <w:color w:val="auto"/>
              </w:rPr>
            </w:pP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Effects of</w:t>
            </w: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8"/>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Reported</w:t>
            </w: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Adoption</w:t>
            </w: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w w:val="93"/>
              </w:rPr>
              <w:t>As Adjusted</w:t>
            </w: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Reported</w:t>
            </w: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Adoption</w:t>
            </w: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w w:val="98"/>
              </w:rPr>
              <w:t>As Adjusted</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21,165</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121</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21,286</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41,628</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245</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41,873</w:t>
            </w:r>
          </w:p>
        </w:tc>
      </w:tr>
      <w:tr>
        <w:trPr>
          <w:trHeight w:val="270"/>
        </w:trPr>
        <w:tc>
          <w:tcPr>
            <w:tcW w:w="366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16,607</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111</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16,718</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32,540</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223</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32,763</w:t>
            </w:r>
          </w:p>
        </w:tc>
      </w:tr>
      <w:tr>
        <w:trPr>
          <w:trHeight w:val="270"/>
        </w:trPr>
        <w:tc>
          <w:tcPr>
            <w:tcW w:w="36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4,558</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4,568</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9,088</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9,110</w:t>
            </w:r>
          </w:p>
        </w:tc>
      </w:tr>
      <w:tr>
        <w:trPr>
          <w:trHeight w:val="270"/>
        </w:trPr>
        <w:tc>
          <w:tcPr>
            <w:tcW w:w="3660" w:type="dxa"/>
            <w:vAlign w:val="bottom"/>
          </w:tcPr>
          <w:p>
            <w:pPr>
              <w:ind w:left="40"/>
              <w:spacing w:after="0"/>
              <w:rPr>
                <w:sz w:val="20"/>
                <w:szCs w:val="20"/>
                <w:color w:val="auto"/>
              </w:rPr>
            </w:pPr>
            <w:r>
              <w:rPr>
                <w:rFonts w:ascii="Arial" w:cs="Arial" w:eastAsia="Arial" w:hAnsi="Arial"/>
                <w:sz w:val="18"/>
                <w:szCs w:val="18"/>
                <w:color w:val="auto"/>
                <w:w w:val="94"/>
              </w:rPr>
              <w:t>Net income attributable to Comcast Corporation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2,513</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2,521</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5,079</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5,094</w:t>
            </w:r>
          </w:p>
        </w:tc>
      </w:tr>
      <w:tr>
        <w:trPr>
          <w:trHeight w:val="27"/>
        </w:trPr>
        <w:tc>
          <w:tcPr>
            <w:tcW w:w="3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w w:val="92"/>
              </w:rPr>
              <w:t>December 31, 2017</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10"/>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Previously Reported</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Effects of Adoption</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As Adjusted</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16,060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283</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16,343</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7,076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7,087</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18,779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(646)</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18,133</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3,489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865</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4,354</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186,949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513</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187,462</w:t>
            </w:r>
          </w:p>
        </w:tc>
      </w:tr>
      <w:tr>
        <w:trPr>
          <w:trHeight w:val="540"/>
        </w:trPr>
        <w:tc>
          <w:tcPr>
            <w:tcW w:w="698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21,561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432</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21,993</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24,256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24,259</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10,904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68</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10,972</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69,449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69,459</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Total liabilities and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186,949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513</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187,462</w:t>
            </w:r>
          </w:p>
        </w:tc>
      </w:tr>
      <w:tr>
        <w:trPr>
          <w:trHeight w:val="27"/>
        </w:trPr>
        <w:tc>
          <w:tcPr>
            <w:tcW w:w="6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Communications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implemented for the Cable Communications segment is presented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to Presentation of Revenue and Related Costs</w:t>
      </w:r>
    </w:p>
    <w:p>
      <w:pPr>
        <w:spacing w:after="0" w:line="68" w:lineRule="exact"/>
        <w:rPr>
          <w:sz w:val="20"/>
          <w:szCs w:val="20"/>
          <w:color w:val="auto"/>
        </w:rPr>
      </w:pPr>
    </w:p>
    <w:p>
      <w:pPr>
        <w:ind w:left="660" w:right="2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Revenue from our residential video services decreased with corresponding increases to high-speed Internet and voice revenue due to a change in the allocation of revenue among our cable services included in a bundle that our residential customers purchase at a discount.</w:t>
      </w:r>
    </w:p>
    <w:p>
      <w:pPr>
        <w:spacing w:after="0" w:line="92"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from franchise and other regulatory fees, which was previously presented in other revenue, is now presented with the corresponding cable services. This resulted in increases to video, voice and business services revenue.</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Residential customer late fees are now presented in other revenue. These fees were previously presented as a reduction to other operating costs and expenses.</w:t>
      </w:r>
    </w:p>
    <w:p>
      <w:pPr>
        <w:spacing w:after="0" w:line="116"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costs, including costs related to the fulfillment of contracts with customers, are now presented as other assets and the related costs are recognized over time in operating costs and expenses, which are comprised of total costs and expenses, excluding depreciation and amortization expense and other operating gains. These amounts were previously presented as intangible assets, and the expenses were previously presented in amortization expense. The payments related to these assets are now presented in net cash provided by operating activities rather than in cash paid for intangible assets in our consolidated statement of cash flows.</w:t>
      </w:r>
    </w:p>
    <w:p>
      <w:pPr>
        <w:sectPr>
          <w:pgSz w:w="11900" w:h="16838" w:orient="portrait"/>
          <w:cols w:equalWidth="0" w:num="1">
            <w:col w:w="11420"/>
          </w:cols>
          <w:pgMar w:left="240" w:top="121" w:right="239" w:bottom="1440" w:gutter="0" w:footer="0" w:header="0"/>
        </w:sect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1"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to the Timing of Recognition of Revenue and Related Costs</w:t>
      </w:r>
    </w:p>
    <w:p>
      <w:pPr>
        <w:spacing w:after="0" w:line="122" w:lineRule="exact"/>
        <w:rPr>
          <w:sz w:val="20"/>
          <w:szCs w:val="20"/>
          <w:color w:val="auto"/>
        </w:rPr>
      </w:pPr>
    </w:p>
    <w:p>
      <w:pPr>
        <w:jc w:val="both"/>
        <w:ind w:left="660" w:hanging="328"/>
        <w:spacing w:after="0" w:line="272"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Installation revenue and commission expense are now recognized as revenue and operating costs and expenses, respectively, over a period of time rather than recognized immediately as they were previously. We recorded a deferred revenue liability related to upfront installation fees that are not distinct services, which required us to allocate the installation fees to the respective service. The installation fees are generally recognized as revenue over the period that the fee would influence a customer to renew their service. This period is less than a year for residential customers and the term of the related contract for business services customers. Incremental costs to obtain a contract with a customer, such as commissions for our business customers, are now deferred and recognized over the contract term. Sales commissions related to our residential customers are expensed as incurred as the related period of benefit is less than a year.</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table below presents the effects these changes had on our Cable Communications segment revenue, operating costs and expenses, and depreciation and amortization expense as a result of the updated guidance for the prior year period. Previously reported amounts are based on amounts previously presented in the segment information footnote.</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 June 30, 2017</w:t>
            </w:r>
          </w:p>
        </w:tc>
        <w:tc>
          <w:tcPr>
            <w:tcW w:w="9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Six Months Ended June 30, 2017</w:t>
            </w:r>
          </w:p>
        </w:tc>
        <w:tc>
          <w:tcPr>
            <w:tcW w:w="860" w:type="dxa"/>
            <w:vAlign w:val="bottom"/>
            <w:tcBorders>
              <w:bottom w:val="single" w:sz="8" w:color="auto"/>
            </w:tcBorders>
          </w:tcPr>
          <w:p>
            <w:pPr>
              <w:spacing w:after="0"/>
              <w:rPr>
                <w:sz w:val="16"/>
                <w:szCs w:val="16"/>
                <w:color w:val="auto"/>
              </w:rPr>
            </w:pPr>
          </w:p>
        </w:tc>
      </w:tr>
      <w:tr>
        <w:trPr>
          <w:trHeight w:val="156"/>
        </w:trPr>
        <w:tc>
          <w:tcPr>
            <w:tcW w:w="3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Previously</w:t>
            </w:r>
          </w:p>
        </w:tc>
        <w:tc>
          <w:tcPr>
            <w:tcW w:w="40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Effects of</w:t>
            </w: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Previously</w:t>
            </w:r>
          </w:p>
        </w:tc>
        <w:tc>
          <w:tcPr>
            <w:tcW w:w="400" w:type="dxa"/>
            <w:vAlign w:val="bottom"/>
          </w:tcPr>
          <w:p>
            <w:pPr>
              <w:spacing w:after="0"/>
              <w:rPr>
                <w:sz w:val="13"/>
                <w:szCs w:val="13"/>
                <w:color w:val="auto"/>
              </w:rPr>
            </w:pPr>
          </w:p>
        </w:tc>
        <w:tc>
          <w:tcPr>
            <w:tcW w:w="900" w:type="dxa"/>
            <w:vAlign w:val="bottom"/>
          </w:tcPr>
          <w:p>
            <w:pPr>
              <w:jc w:val="right"/>
              <w:ind w:right="13"/>
              <w:spacing w:after="0" w:line="157" w:lineRule="exact"/>
              <w:rPr>
                <w:sz w:val="20"/>
                <w:szCs w:val="20"/>
                <w:color w:val="auto"/>
              </w:rPr>
            </w:pPr>
            <w:r>
              <w:rPr>
                <w:rFonts w:ascii="Arial" w:cs="Arial" w:eastAsia="Arial" w:hAnsi="Arial"/>
                <w:sz w:val="14"/>
                <w:szCs w:val="14"/>
                <w:color w:val="auto"/>
              </w:rPr>
              <w:t>Effects of</w:t>
            </w: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8"/>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Reported</w:t>
            </w: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Adoption</w:t>
            </w: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w w:val="93"/>
              </w:rPr>
              <w:t>As Adjusted</w:t>
            </w: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Reported</w:t>
            </w: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Adoption</w:t>
            </w: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w w:val="98"/>
              </w:rPr>
              <w:t>As Adjusted</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8"/>
                <w:szCs w:val="18"/>
                <w:color w:val="auto"/>
              </w:rPr>
              <w:t>Video</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5,797</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5,740</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11,571</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(125)</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11,446</w:t>
            </w:r>
          </w:p>
        </w:tc>
      </w:tr>
      <w:tr>
        <w:trPr>
          <w:trHeight w:val="270"/>
        </w:trPr>
        <w:tc>
          <w:tcPr>
            <w:tcW w:w="3660" w:type="dxa"/>
            <w:vAlign w:val="bottom"/>
          </w:tcPr>
          <w:p>
            <w:pPr>
              <w:ind w:left="180"/>
              <w:spacing w:after="0"/>
              <w:rPr>
                <w:sz w:val="20"/>
                <w:szCs w:val="20"/>
                <w:color w:val="auto"/>
              </w:rPr>
            </w:pPr>
            <w:r>
              <w:rPr>
                <w:rFonts w:ascii="Arial" w:cs="Arial" w:eastAsia="Arial" w:hAnsi="Arial"/>
                <w:sz w:val="18"/>
                <w:szCs w:val="18"/>
                <w:color w:val="auto"/>
              </w:rPr>
              <w:t>High-speed Internet</w:t>
            </w: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3,679</w:t>
            </w:r>
          </w:p>
        </w:tc>
        <w:tc>
          <w:tcPr>
            <w:tcW w:w="4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w:t>
            </w:r>
          </w:p>
        </w:tc>
        <w:tc>
          <w:tcPr>
            <w:tcW w:w="440" w:type="dxa"/>
            <w:vAlign w:val="bottom"/>
          </w:tcPr>
          <w:p>
            <w:pPr>
              <w:spacing w:after="0"/>
              <w:rPr>
                <w:sz w:val="23"/>
                <w:szCs w:val="23"/>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3,898</w:t>
            </w: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7,285</w:t>
            </w:r>
          </w:p>
        </w:tc>
        <w:tc>
          <w:tcPr>
            <w:tcW w:w="40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455</w:t>
            </w:r>
          </w:p>
        </w:tc>
        <w:tc>
          <w:tcPr>
            <w:tcW w:w="40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7,740</w:t>
            </w:r>
          </w:p>
        </w:tc>
      </w:tr>
      <w:tr>
        <w:trPr>
          <w:trHeight w:val="270"/>
        </w:trPr>
        <w:tc>
          <w:tcPr>
            <w:tcW w:w="3660" w:type="dxa"/>
            <w:vAlign w:val="bottom"/>
          </w:tcPr>
          <w:p>
            <w:pPr>
              <w:ind w:left="180"/>
              <w:spacing w:after="0"/>
              <w:rPr>
                <w:sz w:val="20"/>
                <w:szCs w:val="20"/>
                <w:color w:val="auto"/>
              </w:rPr>
            </w:pPr>
            <w:r>
              <w:rPr>
                <w:rFonts w:ascii="Arial" w:cs="Arial" w:eastAsia="Arial" w:hAnsi="Arial"/>
                <w:sz w:val="18"/>
                <w:szCs w:val="18"/>
                <w:color w:val="auto"/>
              </w:rPr>
              <w:t>Voice</w:t>
            </w: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856</w:t>
            </w:r>
          </w:p>
        </w:tc>
        <w:tc>
          <w:tcPr>
            <w:tcW w:w="4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w:t>
            </w:r>
          </w:p>
        </w:tc>
        <w:tc>
          <w:tcPr>
            <w:tcW w:w="440" w:type="dxa"/>
            <w:vAlign w:val="bottom"/>
          </w:tcPr>
          <w:p>
            <w:pPr>
              <w:spacing w:after="0"/>
              <w:rPr>
                <w:sz w:val="23"/>
                <w:szCs w:val="23"/>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1,034</w:t>
            </w: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1,719</w:t>
            </w:r>
          </w:p>
        </w:tc>
        <w:tc>
          <w:tcPr>
            <w:tcW w:w="40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349</w:t>
            </w:r>
          </w:p>
        </w:tc>
        <w:tc>
          <w:tcPr>
            <w:tcW w:w="40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2,068</w:t>
            </w:r>
          </w:p>
        </w:tc>
      </w:tr>
      <w:tr>
        <w:trPr>
          <w:trHeight w:val="270"/>
        </w:trPr>
        <w:tc>
          <w:tcPr>
            <w:tcW w:w="3660" w:type="dxa"/>
            <w:vAlign w:val="bottom"/>
          </w:tcPr>
          <w:p>
            <w:pPr>
              <w:ind w:left="40"/>
              <w:spacing w:after="0"/>
              <w:rPr>
                <w:sz w:val="20"/>
                <w:szCs w:val="20"/>
                <w:color w:val="auto"/>
              </w:rPr>
            </w:pPr>
            <w:r>
              <w:rPr>
                <w:rFonts w:ascii="Arial" w:cs="Arial" w:eastAsia="Arial" w:hAnsi="Arial"/>
                <w:sz w:val="18"/>
                <w:szCs w:val="18"/>
                <w:color w:val="auto"/>
              </w:rPr>
              <w:t>Business services</w:t>
            </w: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1,531</w:t>
            </w:r>
          </w:p>
        </w:tc>
        <w:tc>
          <w:tcPr>
            <w:tcW w:w="4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c>
          <w:tcPr>
            <w:tcW w:w="440" w:type="dxa"/>
            <w:vAlign w:val="bottom"/>
          </w:tcPr>
          <w:p>
            <w:pPr>
              <w:spacing w:after="0"/>
              <w:rPr>
                <w:sz w:val="23"/>
                <w:szCs w:val="23"/>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1,585</w:t>
            </w: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3,021</w:t>
            </w:r>
          </w:p>
        </w:tc>
        <w:tc>
          <w:tcPr>
            <w:tcW w:w="40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107</w:t>
            </w:r>
          </w:p>
        </w:tc>
        <w:tc>
          <w:tcPr>
            <w:tcW w:w="40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3,128</w:t>
            </w:r>
          </w:p>
        </w:tc>
      </w:tr>
      <w:tr>
        <w:trPr>
          <w:trHeight w:val="270"/>
        </w:trPr>
        <w:tc>
          <w:tcPr>
            <w:tcW w:w="366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574</w:t>
            </w:r>
          </w:p>
        </w:tc>
        <w:tc>
          <w:tcPr>
            <w:tcW w:w="4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w:t>
            </w:r>
          </w:p>
        </w:tc>
        <w:tc>
          <w:tcPr>
            <w:tcW w:w="440" w:type="dxa"/>
            <w:vAlign w:val="bottom"/>
          </w:tcPr>
          <w:p>
            <w:pPr>
              <w:spacing w:after="0"/>
              <w:rPr>
                <w:sz w:val="23"/>
                <w:szCs w:val="23"/>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626</w:t>
            </w: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1,086</w:t>
            </w:r>
          </w:p>
        </w:tc>
        <w:tc>
          <w:tcPr>
            <w:tcW w:w="40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94</w:t>
            </w:r>
          </w:p>
        </w:tc>
        <w:tc>
          <w:tcPr>
            <w:tcW w:w="40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1,180</w:t>
            </w:r>
          </w:p>
        </w:tc>
      </w:tr>
      <w:tr>
        <w:trPr>
          <w:trHeight w:val="270"/>
        </w:trPr>
        <w:tc>
          <w:tcPr>
            <w:tcW w:w="366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685</w:t>
            </w:r>
          </w:p>
        </w:tc>
        <w:tc>
          <w:tcPr>
            <w:tcW w:w="4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(311)</w:t>
            </w:r>
          </w:p>
        </w:tc>
        <w:tc>
          <w:tcPr>
            <w:tcW w:w="440" w:type="dxa"/>
            <w:vAlign w:val="bottom"/>
          </w:tcPr>
          <w:p>
            <w:pPr>
              <w:spacing w:after="0"/>
              <w:rPr>
                <w:sz w:val="23"/>
                <w:szCs w:val="23"/>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374</w:t>
            </w: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1,352</w:t>
            </w:r>
          </w:p>
        </w:tc>
        <w:tc>
          <w:tcPr>
            <w:tcW w:w="4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(607)</w:t>
            </w:r>
          </w:p>
        </w:tc>
        <w:tc>
          <w:tcPr>
            <w:tcW w:w="40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745</w:t>
            </w:r>
          </w:p>
        </w:tc>
      </w:tr>
      <w:tr>
        <w:trPr>
          <w:trHeight w:val="27"/>
        </w:trPr>
        <w:tc>
          <w:tcPr>
            <w:tcW w:w="3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Total Cable Communications 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13,122</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135</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13,257</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26,034</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273</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26,307</w:t>
            </w:r>
          </w:p>
        </w:tc>
      </w:tr>
      <w:tr>
        <w:trPr>
          <w:trHeight w:val="270"/>
        </w:trPr>
        <w:tc>
          <w:tcPr>
            <w:tcW w:w="366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7,802</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162</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7,964</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15,516</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324</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15,840</w:t>
            </w:r>
          </w:p>
        </w:tc>
      </w:tr>
      <w:tr>
        <w:trPr>
          <w:trHeight w:val="270"/>
        </w:trPr>
        <w:tc>
          <w:tcPr>
            <w:tcW w:w="3660" w:type="dxa"/>
            <w:vAlign w:val="bottom"/>
          </w:tcPr>
          <w:p>
            <w:pPr>
              <w:ind w:left="40"/>
              <w:spacing w:after="0"/>
              <w:rPr>
                <w:sz w:val="20"/>
                <w:szCs w:val="20"/>
                <w:color w:val="auto"/>
              </w:rPr>
            </w:pPr>
            <w:r>
              <w:rPr>
                <w:rFonts w:ascii="Arial" w:cs="Arial" w:eastAsia="Arial" w:hAnsi="Arial"/>
                <w:sz w:val="18"/>
                <w:szCs w:val="18"/>
                <w:color w:val="auto"/>
              </w:rPr>
              <w:t>Depreciation and amortization expense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2,001</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1,967</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3,981</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3,913</w:t>
            </w:r>
          </w:p>
        </w:tc>
      </w:tr>
      <w:tr>
        <w:trPr>
          <w:trHeight w:val="27"/>
        </w:trPr>
        <w:tc>
          <w:tcPr>
            <w:tcW w:w="3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NBCUniversal Segments</w:t>
      </w:r>
    </w:p>
    <w:p>
      <w:pPr>
        <w:spacing w:after="0" w:line="7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adoption of the updated guidance impacted the timing of recognition for some of our revenue contracts, primarily for content licensing agreements. As a result of the adoption of the updated guidance, when the term of existing content licensing agreements is renewed or extended, revenue is not recognized until the date when the renewal or extension period begins. Under the prior guidance, revenue for the content licensing renewal period was recognized on the date that the renewal was agreed to contractually. This change resulted in delayed revenue recognition for content licensing renewals or extensions in our Cable Networks, Broadcast Television and Filmed Entertainment segments. This change also impacted the timing of the related amortization of our film and television costs and participations and residuals expenses. The adoption of the updated guidance did not have a material impact on the results of operations or financial position for the NBCUniversal segments.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and Financial Liabilities</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2016, the FASB updated the accounting guidance related to the recognition and measurement of financial assets and financial liabilities. The updated accounting guidance, among other things, requires that all nonconsolidated equity investments, except those accounted for under the equity method, be measured at fair value and the changes in fair value be recognized in net income. On January 1, 2018, we adopted the updated guidance prospectively along with a related clarifying update and as a result, we recorded an immaterial cumulative effect adjustment to retained earnings, accumulated other comprehensive income (loss) and investments. See Note 9 for further information.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Reform</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22, 2017, new federal tax reform legislation was enacted in the United States (“2017 Tax Act”), resulting in significant changes from previous tax law. The new legislation reduced the federal corporate income tax rate to 21% from 35% effective January 1, 2018. In the fourth quarter of 2017, we recorded a net income tax benefit of approximately $12.7 billion on the date of enactment of the new legislation, primarily relating to a reduction of our net deferred tax liabilities as a result of the rate change. This amount also includes the reversal of our net deferred tax liabilities related to cumulative undistributed foreign earnings and deferred tax assets for related foreign tax credits, partially offset by the one-time deemed repatriation tax on undistributed foreign earnings and profits.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adjustments to deferred tax assets and liabilities, and the liability related to the transition tax, are provisional amounts based on information available as of June 30, 2018. These amounts are subject to change as we obtain information necessary to complete the calculations. During the three months ended June 30, 2018, we recorded immaterial adjustments to the provisional amounts related to the cumulative temporary differences and the one-time deemed repatriation tax on undistributed foreign earnings and profits. We expect to complete our analysis of the provisional items during the second half of 2018.</w:t>
      </w:r>
    </w:p>
    <w:p>
      <w:pPr>
        <w:spacing w:after="0" w:line="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February 2018, the FASB issued guidance that permits companies to reclassify disproportionate tax effects recorded in accumulated other comprehensive income as a result of the 2017 Tax Act to retained earnings. We adopted the guidance as of January 1, 2018 and as a result we recorded an immaterial cumulative effect adjustment to retained earnings and accumulated other comprehensive income (loss).</w:t>
      </w:r>
    </w:p>
    <w:p>
      <w:pPr>
        <w:spacing w:after="0" w:line="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February 2018, the Bipartisan Budget Act of 2018 was enacted. As part of this legislation, various tax provisions that had expired on December 31, 2016 were retroactively extended to December 31, 2017, including the statute permitting the immediate deduction for certain film and television production costs. We recorded an income tax benefit of $128 million in the first quarter of 2018 as a result of the enactment of this legislation.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2016, the FASB updated the accounting guidance related to restricted cash. The new standard requires that the statement of cash flows present the change during the period in the total of cash, cash equivalents, and amounts generally described as restricted cash or restricted cash equivalents, and a reconciliation of such total to amounts on the balance sheet. We adopted the updated guidance on January 1, 2018 and as required applied the retrospective transition method. The adoption did not have a material impact for any period presented.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2016, the FASB updated the accounting guidance related to leases. The updated accounting guidance requires lessees to recognize a right-of-use asset and a lease liability on the balance sheet for all leases with the exception of short-term leases. The asset and liability are initially measured based on the present value of committed lease payments. For a lessee, the recognition, measurement and presentation of expenses and cash flows arising from a lease do not significantly change from previous guidance. For a lessor, the accounting applied is also largely unchanged from previous guidance. The updated guidance is effective for us as of January 1, 2019 and early adoption is permitted. We are currently in the process of determining the impact that the updated accounting guidance will have on our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Film and Television Costs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60" w:type="dxa"/>
            <w:vAlign w:val="bottom"/>
          </w:tcPr>
          <w:p>
            <w:pPr>
              <w:jc w:val="right"/>
              <w:ind w:right="513"/>
              <w:spacing w:after="0"/>
              <w:rPr>
                <w:sz w:val="20"/>
                <w:szCs w:val="20"/>
                <w:color w:val="auto"/>
              </w:rPr>
            </w:pPr>
            <w:r>
              <w:rPr>
                <w:rFonts w:ascii="Arial" w:cs="Arial" w:eastAsia="Arial" w:hAnsi="Arial"/>
                <w:sz w:val="14"/>
                <w:szCs w:val="14"/>
                <w:color w:val="auto"/>
              </w:rPr>
              <w:t>June 30,</w:t>
            </w:r>
          </w:p>
        </w:tc>
        <w:tc>
          <w:tcPr>
            <w:tcW w:w="360" w:type="dxa"/>
            <w:vAlign w:val="bottom"/>
          </w:tcPr>
          <w:p>
            <w:pPr>
              <w:spacing w:after="0"/>
              <w:rPr>
                <w:sz w:val="14"/>
                <w:szCs w:val="14"/>
                <w:color w:val="auto"/>
              </w:rPr>
            </w:pPr>
          </w:p>
        </w:tc>
        <w:tc>
          <w:tcPr>
            <w:tcW w:w="1260" w:type="dxa"/>
            <w:vAlign w:val="bottom"/>
          </w:tcPr>
          <w:p>
            <w:pPr>
              <w:jc w:val="right"/>
              <w:ind w:right="273"/>
              <w:spacing w:after="0"/>
              <w:rPr>
                <w:sz w:val="20"/>
                <w:szCs w:val="20"/>
                <w:color w:val="auto"/>
              </w:rPr>
            </w:pPr>
            <w:r>
              <w:rPr>
                <w:rFonts w:ascii="Arial" w:cs="Arial" w:eastAsia="Arial" w:hAnsi="Arial"/>
                <w:sz w:val="14"/>
                <w:szCs w:val="14"/>
                <w:color w:val="auto"/>
              </w:rPr>
              <w:t>December 31,</w:t>
            </w:r>
          </w:p>
        </w:tc>
      </w:tr>
      <w:tr>
        <w:trPr>
          <w:trHeight w:val="188"/>
        </w:trPr>
        <w:tc>
          <w:tcPr>
            <w:tcW w:w="4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4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2018</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rPr>
              <w:t>2017</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Film Costs:</w:t>
            </w:r>
          </w:p>
        </w:tc>
        <w:tc>
          <w:tcPr>
            <w:tcW w:w="4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4440" w:type="dxa"/>
            <w:vAlign w:val="bottom"/>
          </w:tcPr>
          <w:p>
            <w:pPr>
              <w:ind w:left="380"/>
              <w:spacing w:after="0"/>
              <w:rPr>
                <w:sz w:val="20"/>
                <w:szCs w:val="20"/>
                <w:color w:val="auto"/>
              </w:rPr>
            </w:pPr>
            <w:r>
              <w:rPr>
                <w:rFonts w:ascii="Arial" w:cs="Arial" w:eastAsia="Arial" w:hAnsi="Arial"/>
                <w:sz w:val="18"/>
                <w:szCs w:val="18"/>
                <w:color w:val="auto"/>
              </w:rPr>
              <w:t>Released, less amortization</w:t>
            </w:r>
          </w:p>
        </w:tc>
        <w:tc>
          <w:tcPr>
            <w:tcW w:w="41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1,609</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1,734</w:t>
            </w:r>
          </w:p>
        </w:tc>
      </w:tr>
      <w:tr>
        <w:trPr>
          <w:trHeight w:val="270"/>
        </w:trPr>
        <w:tc>
          <w:tcPr>
            <w:tcW w:w="4440" w:type="dxa"/>
            <w:vAlign w:val="bottom"/>
          </w:tcPr>
          <w:p>
            <w:pPr>
              <w:ind w:left="380"/>
              <w:spacing w:after="0"/>
              <w:rPr>
                <w:sz w:val="20"/>
                <w:szCs w:val="20"/>
                <w:color w:val="auto"/>
              </w:rPr>
            </w:pPr>
            <w:r>
              <w:rPr>
                <w:rFonts w:ascii="Arial" w:cs="Arial" w:eastAsia="Arial" w:hAnsi="Arial"/>
                <w:sz w:val="18"/>
                <w:szCs w:val="18"/>
                <w:color w:val="auto"/>
              </w:rPr>
              <w:t>Completed, not released</w:t>
            </w:r>
          </w:p>
        </w:tc>
        <w:tc>
          <w:tcPr>
            <w:tcW w:w="410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258</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50</w:t>
            </w:r>
          </w:p>
        </w:tc>
      </w:tr>
      <w:tr>
        <w:trPr>
          <w:trHeight w:val="270"/>
        </w:trPr>
        <w:tc>
          <w:tcPr>
            <w:tcW w:w="4440" w:type="dxa"/>
            <w:vAlign w:val="bottom"/>
          </w:tcPr>
          <w:p>
            <w:pPr>
              <w:ind w:left="380"/>
              <w:spacing w:after="0"/>
              <w:rPr>
                <w:sz w:val="20"/>
                <w:szCs w:val="20"/>
                <w:color w:val="auto"/>
              </w:rPr>
            </w:pPr>
            <w:r>
              <w:rPr>
                <w:rFonts w:ascii="Arial" w:cs="Arial" w:eastAsia="Arial" w:hAnsi="Arial"/>
                <w:sz w:val="18"/>
                <w:szCs w:val="18"/>
                <w:color w:val="auto"/>
              </w:rPr>
              <w:t>In production and in development</w:t>
            </w:r>
          </w:p>
        </w:tc>
        <w:tc>
          <w:tcPr>
            <w:tcW w:w="410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1,057</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1,149</w:t>
            </w:r>
          </w:p>
        </w:tc>
      </w:tr>
      <w:tr>
        <w:trPr>
          <w:trHeight w:val="27"/>
        </w:trPr>
        <w:tc>
          <w:tcPr>
            <w:tcW w:w="44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2,924</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2,933</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Television Costs:</w:t>
            </w:r>
          </w:p>
        </w:tc>
        <w:tc>
          <w:tcPr>
            <w:tcW w:w="4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4440" w:type="dxa"/>
            <w:vAlign w:val="bottom"/>
          </w:tcPr>
          <w:p>
            <w:pPr>
              <w:ind w:left="380"/>
              <w:spacing w:after="0"/>
              <w:rPr>
                <w:sz w:val="20"/>
                <w:szCs w:val="20"/>
                <w:color w:val="auto"/>
              </w:rPr>
            </w:pPr>
            <w:r>
              <w:rPr>
                <w:rFonts w:ascii="Arial" w:cs="Arial" w:eastAsia="Arial" w:hAnsi="Arial"/>
                <w:sz w:val="18"/>
                <w:szCs w:val="18"/>
                <w:color w:val="auto"/>
              </w:rPr>
              <w:t>Released, less amortization</w:t>
            </w:r>
          </w:p>
        </w:tc>
        <w:tc>
          <w:tcPr>
            <w:tcW w:w="410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2,326</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2,260</w:t>
            </w:r>
          </w:p>
        </w:tc>
      </w:tr>
      <w:tr>
        <w:trPr>
          <w:trHeight w:val="270"/>
        </w:trPr>
        <w:tc>
          <w:tcPr>
            <w:tcW w:w="4440" w:type="dxa"/>
            <w:vAlign w:val="bottom"/>
          </w:tcPr>
          <w:p>
            <w:pPr>
              <w:ind w:left="380"/>
              <w:spacing w:after="0"/>
              <w:rPr>
                <w:sz w:val="20"/>
                <w:szCs w:val="20"/>
                <w:color w:val="auto"/>
              </w:rPr>
            </w:pPr>
            <w:r>
              <w:rPr>
                <w:rFonts w:ascii="Arial" w:cs="Arial" w:eastAsia="Arial" w:hAnsi="Arial"/>
                <w:sz w:val="18"/>
                <w:szCs w:val="18"/>
                <w:color w:val="auto"/>
              </w:rPr>
              <w:t>In production and in development</w:t>
            </w:r>
          </w:p>
        </w:tc>
        <w:tc>
          <w:tcPr>
            <w:tcW w:w="410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878</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818</w:t>
            </w:r>
          </w:p>
        </w:tc>
      </w:tr>
      <w:tr>
        <w:trPr>
          <w:trHeight w:val="27"/>
        </w:trPr>
        <w:tc>
          <w:tcPr>
            <w:tcW w:w="44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3,204</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3,078</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Programming rights, less amortization</w:t>
            </w:r>
          </w:p>
        </w:tc>
        <w:tc>
          <w:tcPr>
            <w:tcW w:w="410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2,502</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2,689</w:t>
            </w:r>
          </w:p>
        </w:tc>
      </w:tr>
      <w:tr>
        <w:trPr>
          <w:trHeight w:val="27"/>
        </w:trPr>
        <w:tc>
          <w:tcPr>
            <w:tcW w:w="44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8,630</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8,700</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Less: Current portion of programming rights</w:t>
            </w:r>
          </w:p>
        </w:tc>
        <w:tc>
          <w:tcPr>
            <w:tcW w:w="410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1,219</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1,613</w:t>
            </w:r>
          </w:p>
        </w:tc>
      </w:tr>
      <w:tr>
        <w:trPr>
          <w:trHeight w:val="27"/>
        </w:trPr>
        <w:tc>
          <w:tcPr>
            <w:tcW w:w="44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ind w:left="40"/>
              <w:spacing w:after="0"/>
              <w:rPr>
                <w:sz w:val="20"/>
                <w:szCs w:val="20"/>
                <w:color w:val="auto"/>
              </w:rPr>
            </w:pPr>
            <w:r>
              <w:rPr>
                <w:rFonts w:ascii="Arial" w:cs="Arial" w:eastAsia="Arial" w:hAnsi="Arial"/>
                <w:sz w:val="18"/>
                <w:szCs w:val="18"/>
                <w:b w:val="1"/>
                <w:bCs w:val="1"/>
                <w:color w:val="auto"/>
              </w:rPr>
              <w:t>Film and television costs</w:t>
            </w:r>
          </w:p>
        </w:tc>
        <w:tc>
          <w:tcPr>
            <w:tcW w:w="41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93"/>
              <w:spacing w:after="0"/>
              <w:rPr>
                <w:sz w:val="20"/>
                <w:szCs w:val="20"/>
                <w:color w:val="auto"/>
              </w:rPr>
            </w:pPr>
            <w:r>
              <w:rPr>
                <w:rFonts w:ascii="Arial" w:cs="Arial" w:eastAsia="Arial" w:hAnsi="Arial"/>
                <w:sz w:val="18"/>
                <w:szCs w:val="18"/>
                <w:b w:val="1"/>
                <w:bCs w:val="1"/>
                <w:color w:val="auto"/>
              </w:rPr>
              <w:t>7,411</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b w:val="1"/>
                <w:bCs w:val="1"/>
                <w:color w:val="auto"/>
              </w:rPr>
              <w:t>7,087</w:t>
            </w:r>
          </w:p>
        </w:tc>
      </w:tr>
      <w:tr>
        <w:trPr>
          <w:trHeight w:val="34"/>
        </w:trPr>
        <w:tc>
          <w:tcPr>
            <w:tcW w:w="44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513"/>
        </w:trPr>
        <w:tc>
          <w:tcPr>
            <w:tcW w:w="4440" w:type="dxa"/>
            <w:vAlign w:val="bottom"/>
          </w:tcPr>
          <w:p>
            <w:pPr>
              <w:spacing w:after="0"/>
              <w:rPr>
                <w:sz w:val="24"/>
                <w:szCs w:val="24"/>
                <w:color w:val="auto"/>
              </w:rPr>
            </w:pPr>
          </w:p>
        </w:tc>
        <w:tc>
          <w:tcPr>
            <w:tcW w:w="4100" w:type="dxa"/>
            <w:vAlign w:val="bottom"/>
          </w:tcPr>
          <w:p>
            <w:pPr>
              <w:jc w:val="right"/>
              <w:ind w:right="2650"/>
              <w:spacing w:after="0"/>
              <w:rPr>
                <w:sz w:val="20"/>
                <w:szCs w:val="20"/>
                <w:color w:val="auto"/>
              </w:rPr>
            </w:pPr>
            <w:r>
              <w:rPr>
                <w:rFonts w:ascii="Arial" w:cs="Arial" w:eastAsia="Arial" w:hAnsi="Arial"/>
                <w:sz w:val="18"/>
                <w:szCs w:val="18"/>
                <w:color w:val="auto"/>
              </w:rPr>
              <w:t>17</w:t>
            </w: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Investments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jc w:val="right"/>
              <w:ind w:right="596"/>
              <w:spacing w:after="0"/>
              <w:rPr>
                <w:sz w:val="20"/>
                <w:szCs w:val="20"/>
                <w:color w:val="auto"/>
              </w:rPr>
            </w:pPr>
            <w:r>
              <w:rPr>
                <w:rFonts w:ascii="Arial" w:cs="Arial" w:eastAsia="Arial" w:hAnsi="Arial"/>
                <w:sz w:val="14"/>
                <w:szCs w:val="14"/>
                <w:color w:val="auto"/>
              </w:rPr>
              <w:t>June 30,</w:t>
            </w:r>
          </w:p>
        </w:tc>
        <w:tc>
          <w:tcPr>
            <w:tcW w:w="320" w:type="dxa"/>
            <w:vAlign w:val="bottom"/>
          </w:tcPr>
          <w:p>
            <w:pPr>
              <w:spacing w:after="0"/>
              <w:rPr>
                <w:sz w:val="14"/>
                <w:szCs w:val="14"/>
                <w:color w:val="auto"/>
              </w:rPr>
            </w:pPr>
          </w:p>
        </w:tc>
        <w:tc>
          <w:tcPr>
            <w:tcW w:w="1220" w:type="dxa"/>
            <w:vAlign w:val="bottom"/>
          </w:tcPr>
          <w:p>
            <w:pPr>
              <w:jc w:val="right"/>
              <w:ind w:right="274"/>
              <w:spacing w:after="0"/>
              <w:rPr>
                <w:sz w:val="20"/>
                <w:szCs w:val="20"/>
                <w:color w:val="auto"/>
              </w:rPr>
            </w:pPr>
            <w:r>
              <w:rPr>
                <w:rFonts w:ascii="Arial" w:cs="Arial" w:eastAsia="Arial" w:hAnsi="Arial"/>
                <w:sz w:val="14"/>
                <w:szCs w:val="14"/>
                <w:color w:val="auto"/>
                <w:w w:val="95"/>
              </w:rPr>
              <w:t>December 31,</w:t>
            </w:r>
          </w:p>
        </w:tc>
      </w:tr>
      <w:tr>
        <w:trPr>
          <w:trHeight w:val="188"/>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9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color w:val="auto"/>
              </w:rPr>
              <w:t>2018</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2017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Equity method</w:t>
            </w:r>
          </w:p>
        </w:tc>
        <w:tc>
          <w:tcPr>
            <w:tcW w:w="9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76"/>
              <w:spacing w:after="0"/>
              <w:rPr>
                <w:sz w:val="20"/>
                <w:szCs w:val="20"/>
                <w:color w:val="auto"/>
              </w:rPr>
            </w:pPr>
            <w:r>
              <w:rPr>
                <w:rFonts w:ascii="Arial" w:cs="Arial" w:eastAsia="Arial" w:hAnsi="Arial"/>
                <w:sz w:val="18"/>
                <w:szCs w:val="18"/>
                <w:color w:val="auto"/>
              </w:rPr>
              <w:t>4,007</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3,546</w:t>
            </w: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Marketable equity securities</w:t>
            </w: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ind w:right="176"/>
              <w:spacing w:after="0"/>
              <w:rPr>
                <w:sz w:val="20"/>
                <w:szCs w:val="20"/>
                <w:color w:val="auto"/>
              </w:rPr>
            </w:pPr>
            <w:r>
              <w:rPr>
                <w:rFonts w:ascii="Arial" w:cs="Arial" w:eastAsia="Arial" w:hAnsi="Arial"/>
                <w:sz w:val="18"/>
                <w:szCs w:val="18"/>
                <w:color w:val="auto"/>
              </w:rPr>
              <w:t>451</w:t>
            </w:r>
          </w:p>
        </w:tc>
        <w:tc>
          <w:tcPr>
            <w:tcW w:w="320" w:type="dxa"/>
            <w:vAlign w:val="bottom"/>
          </w:tcPr>
          <w:p>
            <w:pPr>
              <w:spacing w:after="0"/>
              <w:rPr>
                <w:sz w:val="23"/>
                <w:szCs w:val="23"/>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433</w:t>
            </w: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Nonmarketable equity securities</w:t>
            </w: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ind w:right="176"/>
              <w:spacing w:after="0"/>
              <w:rPr>
                <w:sz w:val="20"/>
                <w:szCs w:val="20"/>
                <w:color w:val="auto"/>
              </w:rPr>
            </w:pPr>
            <w:r>
              <w:rPr>
                <w:rFonts w:ascii="Arial" w:cs="Arial" w:eastAsia="Arial" w:hAnsi="Arial"/>
                <w:sz w:val="18"/>
                <w:szCs w:val="18"/>
                <w:color w:val="auto"/>
              </w:rPr>
              <w:t>1,279</w:t>
            </w:r>
          </w:p>
        </w:tc>
        <w:tc>
          <w:tcPr>
            <w:tcW w:w="320" w:type="dxa"/>
            <w:vAlign w:val="bottom"/>
          </w:tcPr>
          <w:p>
            <w:pPr>
              <w:spacing w:after="0"/>
              <w:rPr>
                <w:sz w:val="23"/>
                <w:szCs w:val="23"/>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1,186</w:t>
            </w: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ind w:right="176"/>
              <w:spacing w:after="0"/>
              <w:rPr>
                <w:sz w:val="20"/>
                <w:szCs w:val="20"/>
                <w:color w:val="auto"/>
              </w:rPr>
            </w:pPr>
            <w:r>
              <w:rPr>
                <w:rFonts w:ascii="Arial" w:cs="Arial" w:eastAsia="Arial" w:hAnsi="Arial"/>
                <w:sz w:val="18"/>
                <w:szCs w:val="18"/>
                <w:color w:val="auto"/>
              </w:rPr>
              <w:t>1,783</w:t>
            </w:r>
          </w:p>
        </w:tc>
        <w:tc>
          <w:tcPr>
            <w:tcW w:w="320" w:type="dxa"/>
            <w:vAlign w:val="bottom"/>
          </w:tcPr>
          <w:p>
            <w:pPr>
              <w:spacing w:after="0"/>
              <w:rPr>
                <w:sz w:val="23"/>
                <w:szCs w:val="23"/>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1,785</w:t>
            </w:r>
          </w:p>
        </w:tc>
      </w:tr>
      <w:tr>
        <w:trPr>
          <w:trHeight w:val="27"/>
        </w:trPr>
        <w:tc>
          <w:tcPr>
            <w:tcW w:w="5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176"/>
              <w:spacing w:after="0"/>
              <w:rPr>
                <w:sz w:val="20"/>
                <w:szCs w:val="20"/>
                <w:color w:val="auto"/>
              </w:rPr>
            </w:pPr>
            <w:r>
              <w:rPr>
                <w:rFonts w:ascii="Arial" w:cs="Arial" w:eastAsia="Arial" w:hAnsi="Arial"/>
                <w:sz w:val="18"/>
                <w:szCs w:val="18"/>
                <w:color w:val="auto"/>
              </w:rPr>
              <w:t>7,520</w:t>
            </w:r>
          </w:p>
        </w:tc>
        <w:tc>
          <w:tcPr>
            <w:tcW w:w="32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6,950</w:t>
            </w: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Less: Current investments</w:t>
            </w: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ind w:right="176"/>
              <w:spacing w:after="0"/>
              <w:rPr>
                <w:sz w:val="20"/>
                <w:szCs w:val="20"/>
                <w:color w:val="auto"/>
              </w:rPr>
            </w:pPr>
            <w:r>
              <w:rPr>
                <w:rFonts w:ascii="Arial" w:cs="Arial" w:eastAsia="Arial" w:hAnsi="Arial"/>
                <w:sz w:val="18"/>
                <w:szCs w:val="18"/>
                <w:color w:val="auto"/>
              </w:rPr>
              <w:t>82</w:t>
            </w:r>
          </w:p>
        </w:tc>
        <w:tc>
          <w:tcPr>
            <w:tcW w:w="320" w:type="dxa"/>
            <w:vAlign w:val="bottom"/>
          </w:tcPr>
          <w:p>
            <w:pPr>
              <w:spacing w:after="0"/>
              <w:rPr>
                <w:sz w:val="23"/>
                <w:szCs w:val="23"/>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19</w:t>
            </w:r>
          </w:p>
        </w:tc>
      </w:tr>
      <w:tr>
        <w:trPr>
          <w:trHeight w:val="27"/>
        </w:trPr>
        <w:tc>
          <w:tcPr>
            <w:tcW w:w="5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Noncurrent investments</w:t>
            </w: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Pr>
          <w:p>
            <w:pPr>
              <w:jc w:val="right"/>
              <w:ind w:right="176"/>
              <w:spacing w:after="0"/>
              <w:rPr>
                <w:sz w:val="20"/>
                <w:szCs w:val="20"/>
                <w:color w:val="auto"/>
              </w:rPr>
            </w:pPr>
            <w:r>
              <w:rPr>
                <w:rFonts w:ascii="Arial" w:cs="Arial" w:eastAsia="Arial" w:hAnsi="Arial"/>
                <w:sz w:val="18"/>
                <w:szCs w:val="18"/>
                <w:b w:val="1"/>
                <w:bCs w:val="1"/>
                <w:color w:val="auto"/>
              </w:rPr>
              <w:t>7,438</w:t>
            </w:r>
          </w:p>
        </w:tc>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b w:val="1"/>
                <w:bCs w:val="1"/>
                <w:color w:val="auto"/>
              </w:rPr>
              <w:t>6,931</w:t>
            </w:r>
          </w:p>
        </w:tc>
      </w:tr>
      <w:tr>
        <w:trPr>
          <w:trHeight w:val="34"/>
        </w:trPr>
        <w:tc>
          <w:tcPr>
            <w:tcW w:w="7820" w:type="dxa"/>
            <w:vAlign w:val="bottom"/>
            <w:tcBorders>
              <w:bottom w:val="single" w:sz="8" w:color="auto"/>
            </w:tcBorders>
            <w:gridSpan w:val="4"/>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378"/>
        </w:trPr>
        <w:tc>
          <w:tcPr>
            <w:tcW w:w="7820" w:type="dxa"/>
            <w:vAlign w:val="bottom"/>
            <w:gridSpan w:val="4"/>
          </w:tcPr>
          <w:p>
            <w:pPr>
              <w:ind w:left="3960"/>
              <w:spacing w:after="0"/>
              <w:rPr>
                <w:sz w:val="20"/>
                <w:szCs w:val="20"/>
                <w:color w:val="auto"/>
              </w:rPr>
            </w:pPr>
            <w:r>
              <w:rPr>
                <w:rFonts w:ascii="Arial" w:cs="Arial" w:eastAsia="Arial" w:hAnsi="Arial"/>
                <w:sz w:val="18"/>
                <w:szCs w:val="18"/>
                <w:b w:val="1"/>
                <w:bCs w:val="1"/>
                <w:color w:val="auto"/>
              </w:rPr>
              <w:t>Investment and Other Income (Loss), Net</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2"/>
        </w:trPr>
        <w:tc>
          <w:tcPr>
            <w:tcW w:w="5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40" w:type="dxa"/>
            <w:vAlign w:val="bottom"/>
            <w:gridSpan w:val="2"/>
          </w:tcPr>
          <w:p>
            <w:pPr>
              <w:jc w:val="right"/>
              <w:ind w:right="416"/>
              <w:spacing w:after="0"/>
              <w:rPr>
                <w:sz w:val="20"/>
                <w:szCs w:val="20"/>
                <w:color w:val="auto"/>
              </w:rPr>
            </w:pPr>
            <w:r>
              <w:rPr>
                <w:rFonts w:ascii="Arial" w:cs="Arial" w:eastAsia="Arial" w:hAnsi="Arial"/>
                <w:sz w:val="14"/>
                <w:szCs w:val="14"/>
                <w:color w:val="auto"/>
                <w:w w:val="93"/>
              </w:rPr>
              <w:t>Three Months Ended</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20" w:type="dxa"/>
            <w:vAlign w:val="bottom"/>
            <w:gridSpan w:val="3"/>
          </w:tcPr>
          <w:p>
            <w:pPr>
              <w:jc w:val="right"/>
              <w:ind w:right="894"/>
              <w:spacing w:after="0"/>
              <w:rPr>
                <w:sz w:val="20"/>
                <w:szCs w:val="20"/>
                <w:color w:val="auto"/>
              </w:rPr>
            </w:pPr>
            <w:r>
              <w:rPr>
                <w:rFonts w:ascii="Arial" w:cs="Arial" w:eastAsia="Arial" w:hAnsi="Arial"/>
                <w:sz w:val="14"/>
                <w:szCs w:val="14"/>
                <w:color w:val="auto"/>
              </w:rPr>
              <w:t>Six Months Ended</w:t>
            </w:r>
          </w:p>
        </w:tc>
      </w:tr>
      <w:tr>
        <w:trPr>
          <w:trHeight w:val="188"/>
        </w:trPr>
        <w:tc>
          <w:tcPr>
            <w:tcW w:w="51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ind w:right="796"/>
              <w:spacing w:after="0"/>
              <w:rPr>
                <w:sz w:val="20"/>
                <w:szCs w:val="20"/>
                <w:color w:val="auto"/>
              </w:rPr>
            </w:pPr>
            <w:r>
              <w:rPr>
                <w:rFonts w:ascii="Arial" w:cs="Arial" w:eastAsia="Arial" w:hAnsi="Arial"/>
                <w:sz w:val="14"/>
                <w:szCs w:val="14"/>
                <w:color w:val="auto"/>
              </w:rPr>
              <w:t>June 30</w:t>
            </w:r>
          </w:p>
        </w:tc>
        <w:tc>
          <w:tcPr>
            <w:tcW w:w="4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June 30</w:t>
            </w:r>
          </w:p>
        </w:tc>
        <w:tc>
          <w:tcPr>
            <w:tcW w:w="12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6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color w:val="auto"/>
              </w:rPr>
              <w:t>2017</w:t>
            </w:r>
          </w:p>
        </w:tc>
        <w:tc>
          <w:tcPr>
            <w:tcW w:w="4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color w:val="auto"/>
              </w:rPr>
              <w:t>2018</w:t>
            </w: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2017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Equity in net income (losses) of investees, net</w:t>
            </w: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76"/>
              <w:spacing w:after="0"/>
              <w:rPr>
                <w:sz w:val="20"/>
                <w:szCs w:val="20"/>
                <w:color w:val="auto"/>
              </w:rPr>
            </w:pPr>
            <w:r>
              <w:rPr>
                <w:rFonts w:ascii="Arial" w:cs="Arial" w:eastAsia="Arial" w:hAnsi="Arial"/>
                <w:sz w:val="18"/>
                <w:szCs w:val="18"/>
                <w:color w:val="auto"/>
              </w:rPr>
              <w:t>69</w:t>
            </w:r>
          </w:p>
        </w:tc>
        <w:tc>
          <w:tcPr>
            <w:tcW w:w="1120" w:type="dxa"/>
            <w:vAlign w:val="bottom"/>
          </w:tcPr>
          <w:p>
            <w:pPr>
              <w:jc w:val="right"/>
              <w:ind w:right="836"/>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6"/>
              <w:spacing w:after="0"/>
              <w:rPr>
                <w:sz w:val="20"/>
                <w:szCs w:val="20"/>
                <w:color w:val="auto"/>
              </w:rPr>
            </w:pPr>
            <w:r>
              <w:rPr>
                <w:rFonts w:ascii="Arial" w:cs="Arial" w:eastAsia="Arial" w:hAnsi="Arial"/>
                <w:sz w:val="18"/>
                <w:szCs w:val="18"/>
                <w:color w:val="auto"/>
              </w:rPr>
              <w:t>20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51</w:t>
            </w: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Realized and unrealized gains (losses) on equity securities, net</w:t>
            </w:r>
          </w:p>
        </w:tc>
        <w:tc>
          <w:tcPr>
            <w:tcW w:w="920" w:type="dxa"/>
            <w:vAlign w:val="bottom"/>
          </w:tcPr>
          <w:p>
            <w:pPr>
              <w:spacing w:after="0"/>
              <w:rPr>
                <w:sz w:val="23"/>
                <w:szCs w:val="23"/>
                <w:color w:val="auto"/>
              </w:rPr>
            </w:pPr>
          </w:p>
        </w:tc>
        <w:tc>
          <w:tcPr>
            <w:tcW w:w="620" w:type="dxa"/>
            <w:vAlign w:val="bottom"/>
          </w:tcPr>
          <w:p>
            <w:pPr>
              <w:jc w:val="right"/>
              <w:ind w:right="16"/>
              <w:spacing w:after="0"/>
              <w:rPr>
                <w:sz w:val="20"/>
                <w:szCs w:val="20"/>
                <w:color w:val="auto"/>
              </w:rPr>
            </w:pPr>
            <w:r>
              <w:rPr>
                <w:rFonts w:ascii="Arial" w:cs="Arial" w:eastAsia="Arial" w:hAnsi="Arial"/>
                <w:sz w:val="18"/>
                <w:szCs w:val="18"/>
                <w:color w:val="auto"/>
              </w:rPr>
              <w:t>(40)</w:t>
            </w:r>
          </w:p>
        </w:tc>
        <w:tc>
          <w:tcPr>
            <w:tcW w:w="11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Other income (loss), net</w:t>
            </w:r>
          </w:p>
        </w:tc>
        <w:tc>
          <w:tcPr>
            <w:tcW w:w="920" w:type="dxa"/>
            <w:vAlign w:val="bottom"/>
          </w:tcPr>
          <w:p>
            <w:pPr>
              <w:spacing w:after="0"/>
              <w:rPr>
                <w:sz w:val="23"/>
                <w:szCs w:val="23"/>
                <w:color w:val="auto"/>
              </w:rPr>
            </w:pPr>
          </w:p>
        </w:tc>
        <w:tc>
          <w:tcPr>
            <w:tcW w:w="620" w:type="dxa"/>
            <w:vAlign w:val="bottom"/>
          </w:tcPr>
          <w:p>
            <w:pPr>
              <w:jc w:val="right"/>
              <w:ind w:right="76"/>
              <w:spacing w:after="0"/>
              <w:rPr>
                <w:sz w:val="20"/>
                <w:szCs w:val="20"/>
                <w:color w:val="auto"/>
              </w:rPr>
            </w:pPr>
            <w:r>
              <w:rPr>
                <w:rFonts w:ascii="Arial" w:cs="Arial" w:eastAsia="Arial" w:hAnsi="Arial"/>
                <w:sz w:val="18"/>
                <w:szCs w:val="18"/>
                <w:color w:val="auto"/>
              </w:rPr>
              <w:t>48</w:t>
            </w:r>
          </w:p>
        </w:tc>
        <w:tc>
          <w:tcPr>
            <w:tcW w:w="11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86</w:t>
            </w:r>
          </w:p>
        </w:tc>
        <w:tc>
          <w:tcPr>
            <w:tcW w:w="360" w:type="dxa"/>
            <w:vAlign w:val="bottom"/>
          </w:tcPr>
          <w:p>
            <w:pPr>
              <w:spacing w:after="0"/>
              <w:rPr>
                <w:sz w:val="23"/>
                <w:szCs w:val="23"/>
                <w:color w:val="auto"/>
              </w:rPr>
            </w:pPr>
          </w:p>
        </w:tc>
        <w:tc>
          <w:tcPr>
            <w:tcW w:w="1280" w:type="dxa"/>
            <w:vAlign w:val="bottom"/>
          </w:tcPr>
          <w:p>
            <w:pPr>
              <w:jc w:val="right"/>
              <w:ind w:right="56"/>
              <w:spacing w:after="0"/>
              <w:rPr>
                <w:sz w:val="20"/>
                <w:szCs w:val="20"/>
                <w:color w:val="auto"/>
              </w:rPr>
            </w:pPr>
            <w:r>
              <w:rPr>
                <w:rFonts w:ascii="Arial" w:cs="Arial" w:eastAsia="Arial" w:hAnsi="Arial"/>
                <w:sz w:val="18"/>
                <w:szCs w:val="18"/>
                <w:color w:val="auto"/>
              </w:rPr>
              <w:t>195</w:t>
            </w:r>
          </w:p>
        </w:tc>
        <w:tc>
          <w:tcPr>
            <w:tcW w:w="320" w:type="dxa"/>
            <w:vAlign w:val="bottom"/>
          </w:tcPr>
          <w:p>
            <w:pPr>
              <w:spacing w:after="0"/>
              <w:rPr>
                <w:sz w:val="23"/>
                <w:szCs w:val="23"/>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185</w:t>
            </w:r>
          </w:p>
        </w:tc>
      </w:tr>
      <w:tr>
        <w:trPr>
          <w:trHeight w:val="27"/>
        </w:trPr>
        <w:tc>
          <w:tcPr>
            <w:tcW w:w="5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Investment and other income (loss), net</w:t>
            </w:r>
          </w:p>
        </w:tc>
        <w:tc>
          <w:tcPr>
            <w:tcW w:w="920" w:type="dxa"/>
            <w:vAlign w:val="bottom"/>
          </w:tcPr>
          <w:p>
            <w:pPr>
              <w:jc w:val="right"/>
              <w:ind w:right="716"/>
              <w:spacing w:after="0"/>
              <w:rPr>
                <w:sz w:val="20"/>
                <w:szCs w:val="20"/>
                <w:color w:val="auto"/>
              </w:rPr>
            </w:pPr>
            <w:r>
              <w:rPr>
                <w:rFonts w:ascii="Arial" w:cs="Arial" w:eastAsia="Arial" w:hAnsi="Arial"/>
                <w:sz w:val="18"/>
                <w:szCs w:val="18"/>
                <w:b w:val="1"/>
                <w:bCs w:val="1"/>
                <w:color w:val="auto"/>
                <w:w w:val="99"/>
              </w:rPr>
              <w:t>$</w:t>
            </w:r>
          </w:p>
        </w:tc>
        <w:tc>
          <w:tcPr>
            <w:tcW w:w="620" w:type="dxa"/>
            <w:vAlign w:val="bottom"/>
          </w:tcPr>
          <w:p>
            <w:pPr>
              <w:jc w:val="right"/>
              <w:ind w:right="76"/>
              <w:spacing w:after="0"/>
              <w:rPr>
                <w:sz w:val="20"/>
                <w:szCs w:val="20"/>
                <w:color w:val="auto"/>
              </w:rPr>
            </w:pPr>
            <w:r>
              <w:rPr>
                <w:rFonts w:ascii="Arial" w:cs="Arial" w:eastAsia="Arial" w:hAnsi="Arial"/>
                <w:sz w:val="18"/>
                <w:szCs w:val="18"/>
                <w:b w:val="1"/>
                <w:bCs w:val="1"/>
                <w:color w:val="auto"/>
              </w:rPr>
              <w:t>77</w:t>
            </w:r>
          </w:p>
        </w:tc>
        <w:tc>
          <w:tcPr>
            <w:tcW w:w="1120" w:type="dxa"/>
            <w:vAlign w:val="bottom"/>
          </w:tcPr>
          <w:p>
            <w:pPr>
              <w:jc w:val="right"/>
              <w:ind w:right="836"/>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99</w:t>
            </w:r>
          </w:p>
        </w:tc>
        <w:tc>
          <w:tcPr>
            <w:tcW w:w="3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56"/>
              <w:spacing w:after="0"/>
              <w:rPr>
                <w:sz w:val="20"/>
                <w:szCs w:val="20"/>
                <w:color w:val="auto"/>
              </w:rPr>
            </w:pPr>
            <w:r>
              <w:rPr>
                <w:rFonts w:ascii="Arial" w:cs="Arial" w:eastAsia="Arial" w:hAnsi="Arial"/>
                <w:sz w:val="18"/>
                <w:szCs w:val="18"/>
                <w:b w:val="1"/>
                <w:bCs w:val="1"/>
                <w:color w:val="auto"/>
              </w:rPr>
              <w:t>203</w:t>
            </w:r>
          </w:p>
        </w:tc>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b w:val="1"/>
                <w:bCs w:val="1"/>
                <w:color w:val="auto"/>
              </w:rPr>
              <w:t>229</w:t>
            </w:r>
          </w:p>
        </w:tc>
      </w:tr>
      <w:tr>
        <w:trPr>
          <w:trHeight w:val="34"/>
        </w:trPr>
        <w:tc>
          <w:tcPr>
            <w:tcW w:w="5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Beginning January 1, 2018, in connection with our adoption of the updated accounting guidance related to the recognition and measurement of financial assets and financial liabilities (see Note 7), we updated the presentation and accounting policies for our investments previously classified as fair value and cost method investments. The investment categories presented in the table above are based on the new guidance and updated policies, where applicable, are presented below.</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Atairos</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2018, we amended our agreement with Atairos, which primarily increases our commitment to fund Atairos from up to $4 billion to up to $5 billion in the aggregate at any one time, subject to certain offsets.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June 30, 2018 and December 31, 2017, we had an investment in Atairos of $2.7 billion and $2.4 billion, respectively. For the six months ended June 30, 2018 and 2017, we made cash capital contributions to Atairos totaling $112 million and $994 million, respectively. Atairos follows investment company accounting and records its investments at their fair values each reporting period with the net gains or losses reflected in its statement of income. We recognize our share of Atairos’ income and losses in equity in net income (losses) of investees, net. For the three and six months ended June 30, 2018, our share of Atairos income was $151 million and $186 million, respectively. For the three and six months ended June 30, 2017, our share of Atairos income was $42 million and $99 million, respectively.</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April 2018, we sold a controlling interest in our arena management-related businesses to Atairos and received as consideration additional equity interests in Atairos. We account for our retained ownership in the businesses as an equity method investment. In connection with the sale of the businesses, we recognized a pretax gain of $200 million in other operating gains for the three and six months ended June 30, 2018.</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Hulu</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2018 and December 31, 2017, we had an investment in Hulu of $238 million and $249 million, respectively. For the six months ended June 30, 2018 and 2017, we made cash capital contributions to Hulu totaling $227 million and $99 million, respectively. We recognize our proportionate share of Hulu’s income and losses in equity in net income (losses) of investees, net. For the three and six months ended June 30, 2018, we recognized our proportionate share of Hulu’s losses of $107 million and $238 million, respectively. For the three and six months ended June 30, 2017, we recognized our proportionate share of Hulu’s losses of $52 million and $106 million,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Weather Channel</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In March 2018, we sold our investment in The Weather Channel cable network and recognized a pretax gain of $64 million in other income (loss), net.</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Equity Securities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classify publicly traded investments with readily determinable fair values that are not accounted for under the equity method as marketable equity securities. Marketable equity securities are recorded at cost and adjusted to fair value at each reporting period. The changes in fair value between measurement dates are recorded in realized and unrealized gains (losses) on equity securities, net. The fair values of our marketable equity securities are based on Level 1 inputs that use quoted market prices.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Snap</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2017, we acquired an interest in Snap Inc. for $500 million as part of its initial public offering, which we have classified as a marketable equity security. Snap is a camera company whose primary product is Snapchat, a camera app that was created to help people communicate through short videos and images. As of June 30, 2018 and December 31, 2017, we had an investment in Snap of $385 million and $430 million, respectively. For the three and six months ended June 30, 2018, we recognized unrealized losses of $82 million and $45 million, respectively, in realized and unrealized gains (losses) on equity securities, net related to our investment in Snap.</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Nonmarketable Equity Securities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classify investments without readily determinable fair values that are not accounted for under the equity method as nonmarketable equity securities. The accounting guidance requires nonmarketable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We apply this measurement alternative to a majority of our nonmarketable equity securities. When an observable event occurs, we estimate the fair values of our nonmarketable equity securities based on Level 2 inputs that are derived from observable price changes of similar securities adjusted for insignificant differences in rights and obligations. The changes in value are recorded in realized and unrealized gains (losses) on equity securities, net.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AirTouch</w:t>
      </w:r>
    </w:p>
    <w:p>
      <w:pPr>
        <w:spacing w:after="0" w:line="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hold two series of preferred stock of Verizon Americas, Inc., formerly known as AirTouch Communications, Inc. (“AirTouch”), a subsidiary of Verizon Communications Inc., which are redeemable in April 2020. As of both June 30, 2018 and December 31, 2017, we had an investment in AirTouch of $1.6 billion. We account for our investment in AirTouch as a held to maturity investment using the cost method. As of June 30, 2018, the estimated fair value of the AirTouch preferred stock and the estimated fair value of the associated liability related to the redeemable subsidiary preferred shares issued by one of our consolidated subsidiaries were each $1.7 billion. The estimated fair values are based on Level 2 inputs that use pricing models whose inputs are derived primarily from or corroborated by observable market data through correlation or other means for substantially the full term of the financial instrument.</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Supplemental Financial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share-based compensation plans consist primarily of awards of RSUs and stock options to certain employees and directors as part of our approach to long-term incentive compensation. Additionally, through our employee stock purchase plans, employees are able to purchase shares of our common stock at a discount through payroll deductions.</w:t>
      </w:r>
    </w:p>
    <w:p>
      <w:pPr>
        <w:spacing w:after="0" w:line="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March 2018, we granted 12.1 million RSUs and 41.0 million stock options related to our annual management awards. The weighted-average fair values associated with these grants were $35.94 per RSU and $7.15 per stock option.</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60" w:type="dxa"/>
            <w:vAlign w:val="bottom"/>
          </w:tcPr>
          <w:p>
            <w:pPr>
              <w:spacing w:after="0"/>
              <w:rPr>
                <w:sz w:val="14"/>
                <w:szCs w:val="14"/>
                <w:color w:val="auto"/>
              </w:rPr>
            </w:pPr>
          </w:p>
        </w:tc>
      </w:tr>
      <w:tr>
        <w:trPr>
          <w:trHeight w:val="188"/>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w w:val="88"/>
              </w:rPr>
              <w:t>June 30</w:t>
            </w:r>
          </w:p>
        </w:tc>
        <w:tc>
          <w:tcPr>
            <w:tcW w:w="10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color w:val="auto"/>
                <w:w w:val="88"/>
              </w:rPr>
              <w:t>June 30</w:t>
            </w:r>
          </w:p>
        </w:tc>
        <w:tc>
          <w:tcPr>
            <w:tcW w:w="96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color w:val="auto"/>
              </w:rPr>
              <w:t>2018</w:t>
            </w:r>
          </w:p>
        </w:tc>
        <w:tc>
          <w:tcPr>
            <w:tcW w:w="9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2017</w:t>
            </w: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2018</w:t>
            </w:r>
          </w:p>
        </w:tc>
        <w:tc>
          <w:tcPr>
            <w:tcW w:w="8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2017</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Restricted share units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102</w:t>
            </w:r>
          </w:p>
        </w:tc>
        <w:tc>
          <w:tcPr>
            <w:tcW w:w="90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111</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185</w:t>
            </w:r>
          </w:p>
        </w:tc>
        <w:tc>
          <w:tcPr>
            <w:tcW w:w="84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185</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3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w:t>
            </w:r>
          </w:p>
        </w:tc>
        <w:tc>
          <w:tcPr>
            <w:tcW w:w="900" w:type="dxa"/>
            <w:vAlign w:val="bottom"/>
          </w:tcPr>
          <w:p>
            <w:pPr>
              <w:spacing w:after="0"/>
              <w:rPr>
                <w:sz w:val="23"/>
                <w:szCs w:val="23"/>
                <w:color w:val="auto"/>
              </w:rPr>
            </w:pP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63</w:t>
            </w:r>
          </w:p>
        </w:tc>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w:t>
            </w:r>
          </w:p>
        </w:tc>
        <w:tc>
          <w:tcPr>
            <w:tcW w:w="840" w:type="dxa"/>
            <w:vAlign w:val="bottom"/>
          </w:tcPr>
          <w:p>
            <w:pPr>
              <w:spacing w:after="0"/>
              <w:rPr>
                <w:sz w:val="23"/>
                <w:szCs w:val="23"/>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103</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Employee stock purchase plans</w:t>
            </w:r>
          </w:p>
        </w:tc>
        <w:tc>
          <w:tcPr>
            <w:tcW w:w="3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900" w:type="dxa"/>
            <w:vAlign w:val="bottom"/>
          </w:tcPr>
          <w:p>
            <w:pPr>
              <w:spacing w:after="0"/>
              <w:rPr>
                <w:sz w:val="23"/>
                <w:szCs w:val="23"/>
                <w:color w:val="auto"/>
              </w:rPr>
            </w:pP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7</w:t>
            </w:r>
          </w:p>
        </w:tc>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840" w:type="dxa"/>
            <w:vAlign w:val="bottom"/>
          </w:tcPr>
          <w:p>
            <w:pPr>
              <w:spacing w:after="0"/>
              <w:rPr>
                <w:sz w:val="23"/>
                <w:szCs w:val="23"/>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17</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168</w:t>
            </w:r>
          </w:p>
        </w:tc>
        <w:tc>
          <w:tcPr>
            <w:tcW w:w="900" w:type="dxa"/>
            <w:vAlign w:val="bottom"/>
          </w:tcPr>
          <w:p>
            <w:pPr>
              <w:jc w:val="right"/>
              <w:ind w:right="356"/>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94"/>
              <w:spacing w:after="0"/>
              <w:rPr>
                <w:sz w:val="20"/>
                <w:szCs w:val="20"/>
                <w:color w:val="auto"/>
              </w:rPr>
            </w:pPr>
            <w:r>
              <w:rPr>
                <w:rFonts w:ascii="Arial" w:cs="Arial" w:eastAsia="Arial" w:hAnsi="Arial"/>
                <w:sz w:val="18"/>
                <w:szCs w:val="18"/>
                <w:b w:val="1"/>
                <w:bCs w:val="1"/>
                <w:color w:val="auto"/>
              </w:rPr>
              <w:t>181</w:t>
            </w:r>
          </w:p>
        </w:tc>
        <w:tc>
          <w:tcPr>
            <w:tcW w:w="50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307</w:t>
            </w:r>
          </w:p>
        </w:tc>
        <w:tc>
          <w:tcPr>
            <w:tcW w:w="840" w:type="dxa"/>
            <w:vAlign w:val="bottom"/>
          </w:tcPr>
          <w:p>
            <w:pPr>
              <w:jc w:val="right"/>
              <w:ind w:right="316"/>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b w:val="1"/>
                <w:bCs w:val="1"/>
                <w:color w:val="auto"/>
              </w:rPr>
              <w:t>305</w:t>
            </w:r>
          </w:p>
        </w:tc>
      </w:tr>
      <w:tr>
        <w:trPr>
          <w:trHeight w:val="34"/>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2018, we had unrecognized pretax compensation expense of $992 million and $541 million related to nonvested RSUs and nonvested stock options, respectively.</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Cash Payments for Interest and Income Taxes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60" w:type="dxa"/>
            <w:vAlign w:val="bottom"/>
          </w:tcPr>
          <w:p>
            <w:pPr>
              <w:spacing w:after="0"/>
              <w:rPr>
                <w:sz w:val="14"/>
                <w:szCs w:val="14"/>
                <w:color w:val="auto"/>
              </w:rPr>
            </w:pPr>
          </w:p>
        </w:tc>
      </w:tr>
      <w:tr>
        <w:trPr>
          <w:trHeight w:val="188"/>
        </w:trPr>
        <w:tc>
          <w:tcPr>
            <w:tcW w:w="82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6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rPr>
              <w:t>2017</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Interest</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99"/>
              <w:spacing w:after="0"/>
              <w:rPr>
                <w:sz w:val="20"/>
                <w:szCs w:val="20"/>
                <w:color w:val="auto"/>
              </w:rPr>
            </w:pPr>
            <w:r>
              <w:rPr>
                <w:rFonts w:ascii="Arial" w:cs="Arial" w:eastAsia="Arial" w:hAnsi="Arial"/>
                <w:sz w:val="18"/>
                <w:szCs w:val="18"/>
                <w:color w:val="auto"/>
                <w:w w:val="93"/>
              </w:rPr>
              <w:t>1,354</w:t>
            </w:r>
          </w:p>
        </w:tc>
        <w:tc>
          <w:tcPr>
            <w:tcW w:w="6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1,372</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99"/>
              <w:spacing w:after="0"/>
              <w:rPr>
                <w:sz w:val="20"/>
                <w:szCs w:val="20"/>
                <w:color w:val="auto"/>
              </w:rPr>
            </w:pPr>
            <w:r>
              <w:rPr>
                <w:rFonts w:ascii="Arial" w:cs="Arial" w:eastAsia="Arial" w:hAnsi="Arial"/>
                <w:sz w:val="18"/>
                <w:szCs w:val="18"/>
                <w:color w:val="auto"/>
              </w:rPr>
              <w:t>623</w:t>
            </w:r>
          </w:p>
        </w:tc>
        <w:tc>
          <w:tcPr>
            <w:tcW w:w="6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2,209</w:t>
            </w:r>
          </w:p>
        </w:tc>
      </w:tr>
      <w:tr>
        <w:trPr>
          <w:trHeight w:val="27"/>
        </w:trPr>
        <w:tc>
          <w:tcPr>
            <w:tcW w:w="8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2018:</w:t>
      </w:r>
    </w:p>
    <w:p>
      <w:pPr>
        <w:spacing w:after="0" w:line="7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acquired $2.1 billion of property and equipment and intangible assets that were accrued but unpaid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recorded a liability of $871 million for a quarterly cash dividend of $0.19 per common share to be paid in July 2018</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received noncash contributions from noncontrolling interests totaling $391 million related to Universal Beijing Resort (see Note 6)</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in the condensed consolidated balance sheet to the total of the amounts reported in our condensed consolidated statement of cash flows.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160" w:type="dxa"/>
            <w:vAlign w:val="bottom"/>
          </w:tcPr>
          <w:p>
            <w:pPr>
              <w:jc w:val="center"/>
              <w:ind w:left="559"/>
              <w:spacing w:after="0"/>
              <w:rPr>
                <w:sz w:val="20"/>
                <w:szCs w:val="20"/>
                <w:color w:val="auto"/>
              </w:rPr>
            </w:pPr>
            <w:r>
              <w:rPr>
                <w:rFonts w:ascii="Arial" w:cs="Arial" w:eastAsia="Arial" w:hAnsi="Arial"/>
                <w:sz w:val="14"/>
                <w:szCs w:val="14"/>
                <w:color w:val="auto"/>
                <w:w w:val="89"/>
              </w:rPr>
              <w:t>June 30,</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center"/>
              <w:ind w:right="176"/>
              <w:spacing w:after="0"/>
              <w:rPr>
                <w:sz w:val="20"/>
                <w:szCs w:val="20"/>
                <w:color w:val="auto"/>
              </w:rPr>
            </w:pPr>
            <w:r>
              <w:rPr>
                <w:rFonts w:ascii="Arial" w:cs="Arial" w:eastAsia="Arial" w:hAnsi="Arial"/>
                <w:sz w:val="14"/>
                <w:szCs w:val="14"/>
                <w:color w:val="auto"/>
                <w:w w:val="90"/>
              </w:rPr>
              <w:t>December 31,</w:t>
            </w:r>
          </w:p>
        </w:tc>
      </w:tr>
      <w:tr>
        <w:trPr>
          <w:trHeight w:val="188"/>
        </w:trPr>
        <w:tc>
          <w:tcPr>
            <w:tcW w:w="8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160" w:type="dxa"/>
            <w:vAlign w:val="bottom"/>
            <w:tcBorders>
              <w:bottom w:val="single" w:sz="8" w:color="auto"/>
            </w:tcBorders>
          </w:tcPr>
          <w:p>
            <w:pPr>
              <w:jc w:val="center"/>
              <w:ind w:left="599"/>
              <w:spacing w:after="0"/>
              <w:rPr>
                <w:sz w:val="20"/>
                <w:szCs w:val="20"/>
                <w:color w:val="auto"/>
              </w:rPr>
            </w:pPr>
            <w:r>
              <w:rPr>
                <w:rFonts w:ascii="Arial" w:cs="Arial" w:eastAsia="Arial" w:hAnsi="Arial"/>
                <w:sz w:val="14"/>
                <w:szCs w:val="14"/>
                <w:color w:val="auto"/>
                <w:w w:val="89"/>
              </w:rPr>
              <w:t>2018</w:t>
            </w:r>
          </w:p>
        </w:tc>
        <w:tc>
          <w:tcPr>
            <w:tcW w:w="5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color w:val="auto"/>
                <w:w w:val="89"/>
              </w:rPr>
              <w:t>2017</w:t>
            </w:r>
          </w:p>
        </w:tc>
      </w:tr>
      <w:tr>
        <w:trPr>
          <w:trHeight w:val="243"/>
        </w:trPr>
        <w:tc>
          <w:tcPr>
            <w:tcW w:w="80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160" w:type="dxa"/>
            <w:vAlign w:val="bottom"/>
          </w:tcPr>
          <w:p>
            <w:pPr>
              <w:jc w:val="right"/>
              <w:ind w:right="799"/>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w w:val="84"/>
              </w:rPr>
              <w:t>5,726</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3,428</w:t>
            </w: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Restricted cash included in other current assets</w:t>
            </w:r>
          </w:p>
        </w:tc>
        <w:tc>
          <w:tcPr>
            <w:tcW w:w="1160" w:type="dxa"/>
            <w:vAlign w:val="bottom"/>
          </w:tcPr>
          <w:p>
            <w:pPr>
              <w:spacing w:after="0"/>
              <w:rPr>
                <w:sz w:val="23"/>
                <w:szCs w:val="23"/>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56</w:t>
            </w:r>
          </w:p>
        </w:tc>
        <w:tc>
          <w:tcPr>
            <w:tcW w:w="360" w:type="dxa"/>
            <w:vAlign w:val="bottom"/>
          </w:tcPr>
          <w:p>
            <w:pPr>
              <w:spacing w:after="0"/>
              <w:rPr>
                <w:sz w:val="23"/>
                <w:szCs w:val="23"/>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60</w:t>
            </w: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Restricted cash included in other noncurrent assets, net</w:t>
            </w:r>
          </w:p>
        </w:tc>
        <w:tc>
          <w:tcPr>
            <w:tcW w:w="1160" w:type="dxa"/>
            <w:vAlign w:val="bottom"/>
          </w:tcPr>
          <w:p>
            <w:pPr>
              <w:spacing w:after="0"/>
              <w:rPr>
                <w:sz w:val="23"/>
                <w:szCs w:val="23"/>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60</w:t>
            </w:r>
          </w:p>
        </w:tc>
        <w:tc>
          <w:tcPr>
            <w:tcW w:w="360" w:type="dxa"/>
            <w:vAlign w:val="bottom"/>
          </w:tcPr>
          <w:p>
            <w:pPr>
              <w:spacing w:after="0"/>
              <w:rPr>
                <w:sz w:val="23"/>
                <w:szCs w:val="23"/>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83</w:t>
            </w:r>
          </w:p>
        </w:tc>
      </w:tr>
      <w:tr>
        <w:trPr>
          <w:trHeight w:val="27"/>
        </w:trPr>
        <w:tc>
          <w:tcPr>
            <w:tcW w:w="80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1160" w:type="dxa"/>
            <w:vAlign w:val="bottom"/>
          </w:tcPr>
          <w:p>
            <w:pPr>
              <w:jc w:val="right"/>
              <w:ind w:right="799"/>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w w:val="84"/>
              </w:rPr>
              <w:t>5,842</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6"/>
              <w:spacing w:after="0"/>
              <w:rPr>
                <w:sz w:val="20"/>
                <w:szCs w:val="20"/>
                <w:color w:val="auto"/>
              </w:rPr>
            </w:pPr>
            <w:r>
              <w:rPr>
                <w:rFonts w:ascii="Arial" w:cs="Arial" w:eastAsia="Arial" w:hAnsi="Arial"/>
                <w:sz w:val="18"/>
                <w:szCs w:val="18"/>
                <w:b w:val="1"/>
                <w:bCs w:val="1"/>
                <w:color w:val="auto"/>
              </w:rPr>
              <w:t>3,571</w:t>
            </w:r>
          </w:p>
        </w:tc>
      </w:tr>
      <w:tr>
        <w:trPr>
          <w:trHeight w:val="34"/>
        </w:trPr>
        <w:tc>
          <w:tcPr>
            <w:tcW w:w="80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405"/>
        </w:trPr>
        <w:tc>
          <w:tcPr>
            <w:tcW w:w="8060" w:type="dxa"/>
            <w:vAlign w:val="bottom"/>
          </w:tcPr>
          <w:p>
            <w:pPr>
              <w:ind w:left="3540"/>
              <w:spacing w:after="0"/>
              <w:rPr>
                <w:sz w:val="20"/>
                <w:szCs w:val="20"/>
                <w:color w:val="auto"/>
              </w:rPr>
            </w:pPr>
            <w:r>
              <w:rPr>
                <w:rFonts w:ascii="Arial" w:cs="Arial" w:eastAsia="Arial" w:hAnsi="Arial"/>
                <w:sz w:val="18"/>
                <w:szCs w:val="18"/>
                <w:b w:val="1"/>
                <w:bCs w:val="1"/>
                <w:color w:val="auto"/>
              </w:rPr>
              <w:t>Accumulated Other Comprehensive Income (Loss)</w:t>
            </w: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46"/>
        </w:trPr>
        <w:tc>
          <w:tcPr>
            <w:tcW w:w="8060" w:type="dxa"/>
            <w:vAlign w:val="bottom"/>
          </w:tcPr>
          <w:p>
            <w:pPr>
              <w:spacing w:after="0"/>
              <w:rPr>
                <w:sz w:val="24"/>
                <w:szCs w:val="24"/>
                <w:color w:val="auto"/>
              </w:rPr>
            </w:pPr>
          </w:p>
        </w:tc>
        <w:tc>
          <w:tcPr>
            <w:tcW w:w="1160" w:type="dxa"/>
            <w:vAlign w:val="bottom"/>
          </w:tcPr>
          <w:p>
            <w:pPr>
              <w:jc w:val="center"/>
              <w:ind w:left="559"/>
              <w:spacing w:after="0"/>
              <w:rPr>
                <w:sz w:val="20"/>
                <w:szCs w:val="20"/>
                <w:color w:val="auto"/>
              </w:rPr>
            </w:pPr>
            <w:r>
              <w:rPr>
                <w:rFonts w:ascii="Arial" w:cs="Arial" w:eastAsia="Arial" w:hAnsi="Arial"/>
                <w:sz w:val="14"/>
                <w:szCs w:val="14"/>
                <w:color w:val="auto"/>
                <w:w w:val="89"/>
              </w:rPr>
              <w:t>June 30,</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center"/>
              <w:ind w:right="176"/>
              <w:spacing w:after="0"/>
              <w:rPr>
                <w:sz w:val="20"/>
                <w:szCs w:val="20"/>
                <w:color w:val="auto"/>
              </w:rPr>
            </w:pPr>
            <w:r>
              <w:rPr>
                <w:rFonts w:ascii="Arial" w:cs="Arial" w:eastAsia="Arial" w:hAnsi="Arial"/>
                <w:sz w:val="14"/>
                <w:szCs w:val="14"/>
                <w:color w:val="auto"/>
                <w:w w:val="89"/>
              </w:rPr>
              <w:t>June 30,</w:t>
            </w:r>
          </w:p>
        </w:tc>
      </w:tr>
      <w:tr>
        <w:trPr>
          <w:trHeight w:val="188"/>
        </w:trPr>
        <w:tc>
          <w:tcPr>
            <w:tcW w:w="8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160" w:type="dxa"/>
            <w:vAlign w:val="bottom"/>
            <w:tcBorders>
              <w:bottom w:val="single" w:sz="8" w:color="auto"/>
            </w:tcBorders>
          </w:tcPr>
          <w:p>
            <w:pPr>
              <w:jc w:val="center"/>
              <w:ind w:left="599"/>
              <w:spacing w:after="0"/>
              <w:rPr>
                <w:sz w:val="20"/>
                <w:szCs w:val="20"/>
                <w:color w:val="auto"/>
              </w:rPr>
            </w:pPr>
            <w:r>
              <w:rPr>
                <w:rFonts w:ascii="Arial" w:cs="Arial" w:eastAsia="Arial" w:hAnsi="Arial"/>
                <w:sz w:val="14"/>
                <w:szCs w:val="14"/>
                <w:color w:val="auto"/>
                <w:w w:val="89"/>
              </w:rPr>
              <w:t>2018</w:t>
            </w:r>
          </w:p>
        </w:tc>
        <w:tc>
          <w:tcPr>
            <w:tcW w:w="5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color w:val="auto"/>
                <w:w w:val="89"/>
              </w:rPr>
              <w:t>2017</w:t>
            </w:r>
          </w:p>
        </w:tc>
      </w:tr>
      <w:tr>
        <w:trPr>
          <w:trHeight w:val="243"/>
        </w:trPr>
        <w:tc>
          <w:tcPr>
            <w:tcW w:w="8060" w:type="dxa"/>
            <w:vAlign w:val="bottom"/>
          </w:tcPr>
          <w:p>
            <w:pPr>
              <w:ind w:left="40"/>
              <w:spacing w:after="0"/>
              <w:rPr>
                <w:sz w:val="20"/>
                <w:szCs w:val="20"/>
                <w:color w:val="auto"/>
              </w:rPr>
            </w:pPr>
            <w:r>
              <w:rPr>
                <w:rFonts w:ascii="Arial" w:cs="Arial" w:eastAsia="Arial" w:hAnsi="Arial"/>
                <w:sz w:val="18"/>
                <w:szCs w:val="18"/>
                <w:color w:val="auto"/>
              </w:rPr>
              <w:t>Unrealized gains (losses) on marketable securities</w:t>
            </w:r>
          </w:p>
        </w:tc>
        <w:tc>
          <w:tcPr>
            <w:tcW w:w="1160" w:type="dxa"/>
            <w:vAlign w:val="bottom"/>
          </w:tcPr>
          <w:p>
            <w:pPr>
              <w:jc w:val="right"/>
              <w:ind w:right="799"/>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17</w:t>
            </w: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Deferred gains (losses) on cash flow hedges</w:t>
            </w:r>
          </w:p>
        </w:tc>
        <w:tc>
          <w:tcPr>
            <w:tcW w:w="1160" w:type="dxa"/>
            <w:vAlign w:val="bottom"/>
          </w:tcPr>
          <w:p>
            <w:pPr>
              <w:spacing w:after="0"/>
              <w:rPr>
                <w:sz w:val="23"/>
                <w:szCs w:val="23"/>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Unrecognized gains (losses) on employee benefit obligations</w:t>
            </w:r>
          </w:p>
        </w:tc>
        <w:tc>
          <w:tcPr>
            <w:tcW w:w="1160" w:type="dxa"/>
            <w:vAlign w:val="bottom"/>
          </w:tcPr>
          <w:p>
            <w:pPr>
              <w:spacing w:after="0"/>
              <w:rPr>
                <w:sz w:val="23"/>
                <w:szCs w:val="23"/>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302</w:t>
            </w:r>
          </w:p>
        </w:tc>
        <w:tc>
          <w:tcPr>
            <w:tcW w:w="360" w:type="dxa"/>
            <w:vAlign w:val="bottom"/>
          </w:tcPr>
          <w:p>
            <w:pPr>
              <w:spacing w:after="0"/>
              <w:rPr>
                <w:sz w:val="23"/>
                <w:szCs w:val="23"/>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276</w:t>
            </w: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Cumulative translation adjustments</w:t>
            </w:r>
          </w:p>
        </w:tc>
        <w:tc>
          <w:tcPr>
            <w:tcW w:w="1160" w:type="dxa"/>
            <w:vAlign w:val="bottom"/>
          </w:tcPr>
          <w:p>
            <w:pPr>
              <w:spacing w:after="0"/>
              <w:rPr>
                <w:sz w:val="23"/>
                <w:szCs w:val="23"/>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133</w:t>
            </w:r>
          </w:p>
        </w:tc>
        <w:tc>
          <w:tcPr>
            <w:tcW w:w="360" w:type="dxa"/>
            <w:vAlign w:val="bottom"/>
          </w:tcPr>
          <w:p>
            <w:pPr>
              <w:spacing w:after="0"/>
              <w:rPr>
                <w:sz w:val="23"/>
                <w:szCs w:val="23"/>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151</w:t>
            </w:r>
          </w:p>
        </w:tc>
      </w:tr>
      <w:tr>
        <w:trPr>
          <w:trHeight w:val="27"/>
        </w:trPr>
        <w:tc>
          <w:tcPr>
            <w:tcW w:w="80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Accumulated other comprehensive income (loss), net of deferred taxes</w:t>
            </w:r>
          </w:p>
        </w:tc>
        <w:tc>
          <w:tcPr>
            <w:tcW w:w="1160" w:type="dxa"/>
            <w:vAlign w:val="bottom"/>
          </w:tcPr>
          <w:p>
            <w:pPr>
              <w:jc w:val="right"/>
              <w:ind w:right="799"/>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rPr>
              <w:t>461</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6"/>
              <w:spacing w:after="0"/>
              <w:rPr>
                <w:sz w:val="20"/>
                <w:szCs w:val="20"/>
                <w:color w:val="auto"/>
              </w:rPr>
            </w:pPr>
            <w:r>
              <w:rPr>
                <w:rFonts w:ascii="Arial" w:cs="Arial" w:eastAsia="Arial" w:hAnsi="Arial"/>
                <w:sz w:val="18"/>
                <w:szCs w:val="18"/>
                <w:b w:val="1"/>
                <w:bCs w:val="1"/>
                <w:color w:val="auto"/>
              </w:rPr>
              <w:t>428</w:t>
            </w:r>
          </w:p>
        </w:tc>
      </w:tr>
      <w:tr>
        <w:trPr>
          <w:trHeight w:val="34"/>
        </w:trPr>
        <w:tc>
          <w:tcPr>
            <w:tcW w:w="80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Subsidiary Preferred Stock</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2018, the fair value of the NBCUniversal Enterprise redeemable subsidiary preferred stock was $746 million. The estimated fair value is based on Level 2 inputs that use pricing models whose inputs are derived primarily from or corroborated by observable market data through correlation or other means for substantially the full term of the financial instrument.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and technology vendors under applicable contractual indemnification provisions. In addition, we are subject to other legal proceedings and claims that arise in the ordinary course of our business. While the amount of ultimate liability with respect to such actions is not expected to materially affect our results of operations, cash flows or financial position, any litigation resulting from any such legal proceedings or claims could be time-consuming and injure our reputation.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Condensed Consolidating Financial Information</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Comcast (“Comcast Parent”), Comcast Cable Communications, LLC (“CCCL Parent”), and NBCUniversal (“NBCUniversal Media Parent”) have fully and unconditionally guaranteed each other’s debt securities, including the Comcast revolving credit facility.</w:t>
      </w:r>
    </w:p>
    <w:p>
      <w:pPr>
        <w:spacing w:after="0" w:line="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Comcast Parent and CCCL Parent also fully and unconditionally guarantee NBCUniversal Enterprise’s $3 billion aggregate principal amount of senior notes, $1.5 billion revolving credit facility and commercial paper program. NBCUniversal Media Parent does not guarantee the NBCUniversal Enterprise senior notes, revolving credit facility or commercial paper program.</w:t>
      </w:r>
    </w:p>
    <w:p>
      <w:pPr>
        <w:spacing w:after="0" w:line="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Comcast Parent provides an unconditional guarantee of the Universal Studios Japan $3.6 billion term loans with a final maturity of March 2022. Comcast Parent also provides an unconditional subordinated guarantee of the $185 million principal amount currently outstanding of Comcast Holdings’ ZONES due October 2029. Neither CCCL Parent nor NBCUniversal Media Parent guarantee the Comcast Holdings’ ZONES due October 2029. None of Comcast Parent, CCCL Parent nor NBCUniversal Media Parent guarantee the $62 million principal amount currently outstanding of Comcast Holdings’ ZONES due November 2029 or the Universal Beijing Resort term loans.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6"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3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For the Three Months Ended June 30, 2018</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73"/>
              <w:spacing w:after="0"/>
              <w:rPr>
                <w:sz w:val="20"/>
                <w:szCs w:val="20"/>
                <w:color w:val="auto"/>
              </w:rPr>
            </w:pPr>
            <w:r>
              <w:rPr>
                <w:rFonts w:ascii="Arial" w:cs="Arial" w:eastAsia="Arial" w:hAnsi="Arial"/>
                <w:sz w:val="14"/>
                <w:szCs w:val="14"/>
                <w:color w:val="auto"/>
                <w:w w:val="99"/>
              </w:rPr>
              <w:t>Elimination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2"/>
              </w:rPr>
              <w:t>Non-</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10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Comcast</w:t>
            </w:r>
          </w:p>
        </w:tc>
        <w:tc>
          <w:tcPr>
            <w:tcW w:w="300" w:type="dxa"/>
            <w:vAlign w:val="bottom"/>
          </w:tcPr>
          <w:p>
            <w:pPr>
              <w:spacing w:after="0"/>
              <w:rPr>
                <w:sz w:val="12"/>
                <w:szCs w:val="12"/>
                <w:color w:val="auto"/>
              </w:rPr>
            </w:pP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CCCL</w:t>
            </w:r>
          </w:p>
        </w:tc>
        <w:tc>
          <w:tcPr>
            <w:tcW w:w="180" w:type="dxa"/>
            <w:vAlign w:val="bottom"/>
          </w:tcPr>
          <w:p>
            <w:pPr>
              <w:spacing w:after="0"/>
              <w:rPr>
                <w:sz w:val="12"/>
                <w:szCs w:val="12"/>
                <w:color w:val="auto"/>
              </w:rPr>
            </w:pPr>
          </w:p>
        </w:tc>
        <w:tc>
          <w:tcPr>
            <w:tcW w:w="10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NBCUniversal</w:t>
            </w: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5"/>
              </w:rPr>
              <w:t>Guarantor</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94"/>
              </w:rPr>
              <w:t>Consolidation</w:t>
            </w:r>
          </w:p>
        </w:tc>
        <w:tc>
          <w:tcPr>
            <w:tcW w:w="18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Parent</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Holdings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Parent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w w:val="98"/>
              </w:rPr>
              <w:t>Media 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4"/>
              </w:rPr>
              <w:t>Subsidiaries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w w:val="93"/>
              </w:rPr>
              <w:t>Adjustments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5"/>
              </w:rPr>
              <w:t>Corporation</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Service revenue</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21,735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21,735</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Management fee revenue</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298</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293</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(591)</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298</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293</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21,735</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(591)</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21,735</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6,300</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6,300</w:t>
            </w:r>
          </w:p>
        </w:tc>
      </w:tr>
      <w:tr>
        <w:trPr>
          <w:trHeight w:val="256"/>
        </w:trPr>
        <w:tc>
          <w:tcPr>
            <w:tcW w:w="2580" w:type="dxa"/>
            <w:vAlign w:val="bottom"/>
          </w:tcPr>
          <w:p>
            <w:pPr>
              <w:ind w:left="180"/>
              <w:spacing w:after="0"/>
              <w:rPr>
                <w:sz w:val="20"/>
                <w:szCs w:val="20"/>
                <w:color w:val="auto"/>
              </w:rPr>
            </w:pPr>
            <w:r>
              <w:rPr>
                <w:rFonts w:ascii="Arial" w:cs="Arial" w:eastAsia="Arial" w:hAnsi="Arial"/>
                <w:sz w:val="18"/>
                <w:szCs w:val="18"/>
                <w:color w:val="auto"/>
              </w:rPr>
              <w:t>Other operating and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administrative</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190</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293</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224</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6,249</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(591)</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6,365</w:t>
            </w:r>
          </w:p>
        </w:tc>
      </w:tr>
      <w:tr>
        <w:trPr>
          <w:trHeight w:val="256"/>
        </w:trPr>
        <w:tc>
          <w:tcPr>
            <w:tcW w:w="2580" w:type="dxa"/>
            <w:vAlign w:val="bottom"/>
          </w:tcPr>
          <w:p>
            <w:pPr>
              <w:ind w:left="180"/>
              <w:spacing w:after="0"/>
              <w:rPr>
                <w:sz w:val="20"/>
                <w:szCs w:val="20"/>
                <w:color w:val="auto"/>
              </w:rPr>
            </w:pPr>
            <w:r>
              <w:rPr>
                <w:rFonts w:ascii="Arial" w:cs="Arial" w:eastAsia="Arial" w:hAnsi="Arial"/>
                <w:sz w:val="18"/>
                <w:szCs w:val="18"/>
                <w:color w:val="auto"/>
              </w:rPr>
              <w:t>Advertising, marketing and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promotion</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1,653</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1,653</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2,010</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2,021</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580</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582</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Other operating gains</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Total cost and expenses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203</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293</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224</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16,592</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(591)</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16,721</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(224)</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5,143</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5,014</w:t>
            </w:r>
          </w:p>
        </w:tc>
      </w:tr>
      <w:tr>
        <w:trPr>
          <w:trHeight w:val="270"/>
        </w:trPr>
        <w:tc>
          <w:tcPr>
            <w:tcW w:w="25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(578)</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(806)</w:t>
            </w:r>
          </w:p>
        </w:tc>
      </w:tr>
      <w:tr>
        <w:trPr>
          <w:trHeight w:val="256"/>
        </w:trPr>
        <w:tc>
          <w:tcPr>
            <w:tcW w:w="2580" w:type="dxa"/>
            <w:vAlign w:val="bottom"/>
          </w:tcPr>
          <w:p>
            <w:pPr>
              <w:ind w:left="40"/>
              <w:spacing w:after="0"/>
              <w:rPr>
                <w:sz w:val="20"/>
                <w:szCs w:val="20"/>
                <w:color w:val="auto"/>
              </w:rPr>
            </w:pPr>
            <w:r>
              <w:rPr>
                <w:rFonts w:ascii="Arial" w:cs="Arial" w:eastAsia="Arial" w:hAnsi="Arial"/>
                <w:sz w:val="18"/>
                <w:szCs w:val="18"/>
                <w:color w:val="auto"/>
              </w:rPr>
              <w:t>Investment and other income</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200"/>
              <w:spacing w:after="0"/>
              <w:rPr>
                <w:sz w:val="20"/>
                <w:szCs w:val="20"/>
                <w:color w:val="auto"/>
              </w:rPr>
            </w:pPr>
            <w:r>
              <w:rPr>
                <w:rFonts w:ascii="Arial" w:cs="Arial" w:eastAsia="Arial" w:hAnsi="Arial"/>
                <w:sz w:val="18"/>
                <w:szCs w:val="18"/>
                <w:color w:val="auto"/>
              </w:rPr>
              <w:t>(loss), net</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3,597</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3,580</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2,999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1,589</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1,324</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(13,012)</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77</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w w:val="91"/>
              </w:rPr>
              <w:t>Income (loss) before income taxes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3,114</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3,577</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2,951</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1,252</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6,403</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(13,012)</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4,285</w:t>
            </w:r>
          </w:p>
        </w:tc>
      </w:tr>
      <w:tr>
        <w:trPr>
          <w:trHeight w:val="270"/>
        </w:trPr>
        <w:tc>
          <w:tcPr>
            <w:tcW w:w="258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(1,185)</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(1,077)</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3,216</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3,578</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2,961</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1,247</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5,218</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(13,012)</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3,208</w:t>
            </w:r>
          </w:p>
        </w:tc>
      </w:tr>
      <w:tr>
        <w:trPr>
          <w:trHeight w:val="256"/>
        </w:trPr>
        <w:tc>
          <w:tcPr>
            <w:tcW w:w="2580" w:type="dxa"/>
            <w:vAlign w:val="bottom"/>
          </w:tcPr>
          <w:p>
            <w:pPr>
              <w:ind w:left="40"/>
              <w:spacing w:after="0"/>
              <w:rPr>
                <w:sz w:val="20"/>
                <w:szCs w:val="20"/>
                <w:color w:val="auto"/>
              </w:rPr>
            </w:pPr>
            <w:r>
              <w:rPr>
                <w:rFonts w:ascii="Arial" w:cs="Arial" w:eastAsia="Arial" w:hAnsi="Arial"/>
                <w:sz w:val="18"/>
                <w:szCs w:val="18"/>
                <w:color w:val="auto"/>
              </w:rPr>
              <w:t>Less: Net income (loss)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rPr>
              <w:t>attributable to noncontrolling</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rPr>
              <w:t>interests and redeemable</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580" w:type="dxa"/>
            <w:vAlign w:val="bottom"/>
          </w:tcPr>
          <w:p>
            <w:pPr>
              <w:ind w:left="200"/>
              <w:spacing w:after="0"/>
              <w:rPr>
                <w:sz w:val="20"/>
                <w:szCs w:val="20"/>
                <w:color w:val="auto"/>
              </w:rPr>
            </w:pPr>
            <w:r>
              <w:rPr>
                <w:rFonts w:ascii="Arial" w:cs="Arial" w:eastAsia="Arial" w:hAnsi="Arial"/>
                <w:sz w:val="18"/>
                <w:szCs w:val="18"/>
                <w:color w:val="auto"/>
              </w:rPr>
              <w:t>subsidiary preferred stock</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w w:val="91"/>
              </w:rPr>
              <w:t>Net income (loss) attributable to</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Comcast Corporation</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3,216</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3,578</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2,961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1,247</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5,226</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(13,012)</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3,216</w:t>
            </w:r>
          </w:p>
        </w:tc>
      </w:tr>
      <w:tr>
        <w:trPr>
          <w:trHeight w:val="34"/>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5"/>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w w:val="98"/>
              </w:rPr>
              <w:t>Comprehensive income (loss)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attributable to Comcast</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Corporation</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3,069</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3,527</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2,960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1,069</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4,903</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(12,459)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3,069</w:t>
            </w:r>
          </w:p>
        </w:tc>
      </w:tr>
      <w:tr>
        <w:trPr>
          <w:trHeight w:val="34"/>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621"/>
        </w:trPr>
        <w:tc>
          <w:tcPr>
            <w:tcW w:w="2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492"/>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2017</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73"/>
              <w:spacing w:after="0"/>
              <w:rPr>
                <w:sz w:val="20"/>
                <w:szCs w:val="20"/>
                <w:color w:val="auto"/>
              </w:rPr>
            </w:pPr>
            <w:r>
              <w:rPr>
                <w:rFonts w:ascii="Arial" w:cs="Arial" w:eastAsia="Arial" w:hAnsi="Arial"/>
                <w:sz w:val="14"/>
                <w:szCs w:val="14"/>
                <w:color w:val="auto"/>
                <w:w w:val="99"/>
              </w:rPr>
              <w:t>Elimination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2"/>
              </w:rPr>
              <w:t>Non-</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10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Comcast</w:t>
            </w:r>
          </w:p>
        </w:tc>
        <w:tc>
          <w:tcPr>
            <w:tcW w:w="300" w:type="dxa"/>
            <w:vAlign w:val="bottom"/>
          </w:tcPr>
          <w:p>
            <w:pPr>
              <w:spacing w:after="0"/>
              <w:rPr>
                <w:sz w:val="12"/>
                <w:szCs w:val="12"/>
                <w:color w:val="auto"/>
              </w:rPr>
            </w:pP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CCCL</w:t>
            </w:r>
          </w:p>
        </w:tc>
        <w:tc>
          <w:tcPr>
            <w:tcW w:w="180" w:type="dxa"/>
            <w:vAlign w:val="bottom"/>
          </w:tcPr>
          <w:p>
            <w:pPr>
              <w:spacing w:after="0"/>
              <w:rPr>
                <w:sz w:val="12"/>
                <w:szCs w:val="12"/>
                <w:color w:val="auto"/>
              </w:rPr>
            </w:pPr>
          </w:p>
        </w:tc>
        <w:tc>
          <w:tcPr>
            <w:tcW w:w="10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NBCUniversal</w:t>
            </w: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5"/>
              </w:rPr>
              <w:t>Guarantor</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94"/>
              </w:rPr>
              <w:t>Consolidation</w:t>
            </w:r>
          </w:p>
        </w:tc>
        <w:tc>
          <w:tcPr>
            <w:tcW w:w="18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Parent</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Holdings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Parent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w w:val="98"/>
              </w:rPr>
              <w:t>Media 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4"/>
              </w:rPr>
              <w:t>Subsidiaries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w w:val="93"/>
              </w:rPr>
              <w:t>Adjustments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5"/>
              </w:rPr>
              <w:t>Corporation</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Service revenue</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21,286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21,286</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Management fee revenue</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281</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277</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(558)</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281</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277</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21,286</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(558)</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21,286</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6,330</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6,330</w:t>
            </w:r>
          </w:p>
        </w:tc>
      </w:tr>
      <w:tr>
        <w:trPr>
          <w:trHeight w:val="256"/>
        </w:trPr>
        <w:tc>
          <w:tcPr>
            <w:tcW w:w="2580" w:type="dxa"/>
            <w:vAlign w:val="bottom"/>
          </w:tcPr>
          <w:p>
            <w:pPr>
              <w:ind w:left="180"/>
              <w:spacing w:after="0"/>
              <w:rPr>
                <w:sz w:val="20"/>
                <w:szCs w:val="20"/>
                <w:color w:val="auto"/>
              </w:rPr>
            </w:pPr>
            <w:r>
              <w:rPr>
                <w:rFonts w:ascii="Arial" w:cs="Arial" w:eastAsia="Arial" w:hAnsi="Arial"/>
                <w:sz w:val="18"/>
                <w:szCs w:val="18"/>
                <w:color w:val="auto"/>
              </w:rPr>
              <w:t>Other operating and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administrative</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277</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261</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5,988</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(558)</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6,168</w:t>
            </w:r>
          </w:p>
        </w:tc>
      </w:tr>
      <w:tr>
        <w:trPr>
          <w:trHeight w:val="256"/>
        </w:trPr>
        <w:tc>
          <w:tcPr>
            <w:tcW w:w="2580" w:type="dxa"/>
            <w:vAlign w:val="bottom"/>
          </w:tcPr>
          <w:p>
            <w:pPr>
              <w:ind w:left="180"/>
              <w:spacing w:after="0"/>
              <w:rPr>
                <w:sz w:val="20"/>
                <w:szCs w:val="20"/>
                <w:color w:val="auto"/>
              </w:rPr>
            </w:pPr>
            <w:r>
              <w:rPr>
                <w:rFonts w:ascii="Arial" w:cs="Arial" w:eastAsia="Arial" w:hAnsi="Arial"/>
                <w:sz w:val="18"/>
                <w:szCs w:val="18"/>
                <w:color w:val="auto"/>
              </w:rPr>
              <w:t>Advertising, marketing and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promotion</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1,713</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1,713</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1,963</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1,970</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536</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537</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Other operating gains</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Total cost and expenses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208</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277</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261</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16,530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(558)</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16,718</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(261)</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4,756</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4,568</w:t>
            </w:r>
          </w:p>
        </w:tc>
      </w:tr>
      <w:tr>
        <w:trPr>
          <w:trHeight w:val="270"/>
        </w:trPr>
        <w:tc>
          <w:tcPr>
            <w:tcW w:w="25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(531)</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(758)</w:t>
            </w:r>
          </w:p>
        </w:tc>
      </w:tr>
      <w:tr>
        <w:trPr>
          <w:trHeight w:val="256"/>
        </w:trPr>
        <w:tc>
          <w:tcPr>
            <w:tcW w:w="2580" w:type="dxa"/>
            <w:vAlign w:val="bottom"/>
          </w:tcPr>
          <w:p>
            <w:pPr>
              <w:ind w:left="40"/>
              <w:spacing w:after="0"/>
              <w:rPr>
                <w:sz w:val="20"/>
                <w:szCs w:val="20"/>
                <w:color w:val="auto"/>
              </w:rPr>
            </w:pPr>
            <w:r>
              <w:rPr>
                <w:rFonts w:ascii="Arial" w:cs="Arial" w:eastAsia="Arial" w:hAnsi="Arial"/>
                <w:sz w:val="18"/>
                <w:szCs w:val="18"/>
                <w:color w:val="auto"/>
              </w:rPr>
              <w:t>Investment and other income</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200"/>
              <w:spacing w:after="0"/>
              <w:rPr>
                <w:sz w:val="20"/>
                <w:szCs w:val="20"/>
                <w:color w:val="auto"/>
              </w:rPr>
            </w:pPr>
            <w:r>
              <w:rPr>
                <w:rFonts w:ascii="Arial" w:cs="Arial" w:eastAsia="Arial" w:hAnsi="Arial"/>
                <w:sz w:val="18"/>
                <w:szCs w:val="18"/>
                <w:color w:val="auto"/>
              </w:rPr>
              <w:t>(loss), net</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2,819</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2,642</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2,306</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1,664</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1,352</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(10,684)</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99</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w w:val="91"/>
              </w:rPr>
              <w:t>Income (loss) before income taxes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2,361</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2,639</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2,255</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1,287</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6,051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(10,684)</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3,909</w:t>
            </w:r>
          </w:p>
        </w:tc>
      </w:tr>
      <w:tr>
        <w:trPr>
          <w:trHeight w:val="270"/>
        </w:trPr>
        <w:tc>
          <w:tcPr>
            <w:tcW w:w="258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160</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(1,530)</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(1,367)</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2,521</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2,632</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2,273</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1,279</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4,521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(10,684)</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2,542</w:t>
            </w:r>
          </w:p>
        </w:tc>
      </w:tr>
      <w:tr>
        <w:trPr>
          <w:trHeight w:val="256"/>
        </w:trPr>
        <w:tc>
          <w:tcPr>
            <w:tcW w:w="2580" w:type="dxa"/>
            <w:vAlign w:val="bottom"/>
          </w:tcPr>
          <w:p>
            <w:pPr>
              <w:ind w:left="40"/>
              <w:spacing w:after="0"/>
              <w:rPr>
                <w:sz w:val="20"/>
                <w:szCs w:val="20"/>
                <w:color w:val="auto"/>
              </w:rPr>
            </w:pPr>
            <w:r>
              <w:rPr>
                <w:rFonts w:ascii="Arial" w:cs="Arial" w:eastAsia="Arial" w:hAnsi="Arial"/>
                <w:sz w:val="18"/>
                <w:szCs w:val="18"/>
                <w:color w:val="auto"/>
              </w:rPr>
              <w:t>Less: Net income (loss)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rPr>
              <w:t>attributable to noncontrolling</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rPr>
              <w:t>interests and redeemable</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580" w:type="dxa"/>
            <w:vAlign w:val="bottom"/>
          </w:tcPr>
          <w:p>
            <w:pPr>
              <w:ind w:left="200"/>
              <w:spacing w:after="0"/>
              <w:rPr>
                <w:sz w:val="20"/>
                <w:szCs w:val="20"/>
                <w:color w:val="auto"/>
              </w:rPr>
            </w:pPr>
            <w:r>
              <w:rPr>
                <w:rFonts w:ascii="Arial" w:cs="Arial" w:eastAsia="Arial" w:hAnsi="Arial"/>
                <w:sz w:val="18"/>
                <w:szCs w:val="18"/>
                <w:color w:val="auto"/>
              </w:rPr>
              <w:t>subsidiary preferred stock</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w w:val="91"/>
              </w:rPr>
              <w:t>Net income (loss) attributable to</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Comcast Corporation</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2,521</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2,632</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2,273</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1,279</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4,500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(10,684)</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2,521</w:t>
            </w:r>
          </w:p>
        </w:tc>
      </w:tr>
      <w:tr>
        <w:trPr>
          <w:trHeight w:val="34"/>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5"/>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w w:val="98"/>
              </w:rPr>
              <w:t>Comprehensive income (loss)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attributable to Comcast</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Corporation</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2,413</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2,596</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2,274</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1,123</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4,257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(10,250)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2,413</w:t>
            </w:r>
          </w:p>
        </w:tc>
      </w:tr>
      <w:tr>
        <w:trPr>
          <w:trHeight w:val="34"/>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621"/>
        </w:trPr>
        <w:tc>
          <w:tcPr>
            <w:tcW w:w="2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492"/>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3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For the Six Months Ended June 30, 2018</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73"/>
              <w:spacing w:after="0"/>
              <w:rPr>
                <w:sz w:val="20"/>
                <w:szCs w:val="20"/>
                <w:color w:val="auto"/>
              </w:rPr>
            </w:pPr>
            <w:r>
              <w:rPr>
                <w:rFonts w:ascii="Arial" w:cs="Arial" w:eastAsia="Arial" w:hAnsi="Arial"/>
                <w:sz w:val="14"/>
                <w:szCs w:val="14"/>
                <w:color w:val="auto"/>
                <w:w w:val="99"/>
              </w:rPr>
              <w:t>Elimination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2"/>
              </w:rPr>
              <w:t>Non-</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10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Comcast</w:t>
            </w:r>
          </w:p>
        </w:tc>
        <w:tc>
          <w:tcPr>
            <w:tcW w:w="300" w:type="dxa"/>
            <w:vAlign w:val="bottom"/>
          </w:tcPr>
          <w:p>
            <w:pPr>
              <w:spacing w:after="0"/>
              <w:rPr>
                <w:sz w:val="12"/>
                <w:szCs w:val="12"/>
                <w:color w:val="auto"/>
              </w:rPr>
            </w:pP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CCCL</w:t>
            </w:r>
          </w:p>
        </w:tc>
        <w:tc>
          <w:tcPr>
            <w:tcW w:w="180" w:type="dxa"/>
            <w:vAlign w:val="bottom"/>
          </w:tcPr>
          <w:p>
            <w:pPr>
              <w:spacing w:after="0"/>
              <w:rPr>
                <w:sz w:val="12"/>
                <w:szCs w:val="12"/>
                <w:color w:val="auto"/>
              </w:rPr>
            </w:pPr>
          </w:p>
        </w:tc>
        <w:tc>
          <w:tcPr>
            <w:tcW w:w="10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NBCUniversal</w:t>
            </w: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5"/>
              </w:rPr>
              <w:t>Guarantor</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94"/>
              </w:rPr>
              <w:t>Consolidation</w:t>
            </w:r>
          </w:p>
        </w:tc>
        <w:tc>
          <w:tcPr>
            <w:tcW w:w="18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Parent</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Holdings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Parent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w w:val="98"/>
              </w:rPr>
              <w:t>Media 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4"/>
              </w:rPr>
              <w:t>Subsidiaries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w w:val="93"/>
              </w:rPr>
              <w:t>Adjustments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5"/>
              </w:rPr>
              <w:t>Corporation</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Service revenue</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44,526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44,526</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Management fee revenue</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590</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579</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(1,169)</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590</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579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44,526</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44,526</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13,729</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13,729</w:t>
            </w:r>
          </w:p>
        </w:tc>
      </w:tr>
      <w:tr>
        <w:trPr>
          <w:trHeight w:val="256"/>
        </w:trPr>
        <w:tc>
          <w:tcPr>
            <w:tcW w:w="2580" w:type="dxa"/>
            <w:vAlign w:val="bottom"/>
          </w:tcPr>
          <w:p>
            <w:pPr>
              <w:ind w:left="180"/>
              <w:spacing w:after="0"/>
              <w:rPr>
                <w:sz w:val="20"/>
                <w:szCs w:val="20"/>
                <w:color w:val="auto"/>
              </w:rPr>
            </w:pPr>
            <w:r>
              <w:rPr>
                <w:rFonts w:ascii="Arial" w:cs="Arial" w:eastAsia="Arial" w:hAnsi="Arial"/>
                <w:sz w:val="18"/>
                <w:szCs w:val="18"/>
                <w:color w:val="auto"/>
              </w:rPr>
              <w:t>Other operating and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administrative</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418</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579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542</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12,509</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12,879</w:t>
            </w:r>
          </w:p>
        </w:tc>
      </w:tr>
      <w:tr>
        <w:trPr>
          <w:trHeight w:val="256"/>
        </w:trPr>
        <w:tc>
          <w:tcPr>
            <w:tcW w:w="2580" w:type="dxa"/>
            <w:vAlign w:val="bottom"/>
          </w:tcPr>
          <w:p>
            <w:pPr>
              <w:ind w:left="180"/>
              <w:spacing w:after="0"/>
              <w:rPr>
                <w:sz w:val="20"/>
                <w:szCs w:val="20"/>
                <w:color w:val="auto"/>
              </w:rPr>
            </w:pPr>
            <w:r>
              <w:rPr>
                <w:rFonts w:ascii="Arial" w:cs="Arial" w:eastAsia="Arial" w:hAnsi="Arial"/>
                <w:sz w:val="18"/>
                <w:szCs w:val="18"/>
                <w:color w:val="auto"/>
              </w:rPr>
              <w:t>Advertising, marketing and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promotion</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3,257</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3,257</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4,010</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4,032</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1,167</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1,170</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Other operating gains</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Total cost and expenses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443</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579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542</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34,472</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34,867</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147</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(542)</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10,054</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9,659</w:t>
            </w:r>
          </w:p>
        </w:tc>
      </w:tr>
      <w:tr>
        <w:trPr>
          <w:trHeight w:val="270"/>
        </w:trPr>
        <w:tc>
          <w:tcPr>
            <w:tcW w:w="25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(1,139)</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(219)</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(1,583)</w:t>
            </w:r>
          </w:p>
        </w:tc>
      </w:tr>
      <w:tr>
        <w:trPr>
          <w:trHeight w:val="256"/>
        </w:trPr>
        <w:tc>
          <w:tcPr>
            <w:tcW w:w="2580" w:type="dxa"/>
            <w:vAlign w:val="bottom"/>
          </w:tcPr>
          <w:p>
            <w:pPr>
              <w:ind w:left="40"/>
              <w:spacing w:after="0"/>
              <w:rPr>
                <w:sz w:val="20"/>
                <w:szCs w:val="20"/>
                <w:color w:val="auto"/>
              </w:rPr>
            </w:pPr>
            <w:r>
              <w:rPr>
                <w:rFonts w:ascii="Arial" w:cs="Arial" w:eastAsia="Arial" w:hAnsi="Arial"/>
                <w:sz w:val="18"/>
                <w:szCs w:val="18"/>
                <w:color w:val="auto"/>
              </w:rPr>
              <w:t>Investment and other income</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200"/>
              <w:spacing w:after="0"/>
              <w:rPr>
                <w:sz w:val="20"/>
                <w:szCs w:val="20"/>
                <w:color w:val="auto"/>
              </w:rPr>
            </w:pPr>
            <w:r>
              <w:rPr>
                <w:rFonts w:ascii="Arial" w:cs="Arial" w:eastAsia="Arial" w:hAnsi="Arial"/>
                <w:sz w:val="18"/>
                <w:szCs w:val="18"/>
                <w:color w:val="auto"/>
              </w:rPr>
              <w:t>(loss), net</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7,117</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6,899</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5,825</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3,531</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2,912</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(26,081)</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203</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w w:val="91"/>
              </w:rPr>
              <w:t>Income (loss) before income taxes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6,125</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6,893</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5,730</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2,770</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12,842</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(26,081)</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8,279</w:t>
            </w:r>
          </w:p>
        </w:tc>
      </w:tr>
      <w:tr>
        <w:trPr>
          <w:trHeight w:val="270"/>
        </w:trPr>
        <w:tc>
          <w:tcPr>
            <w:tcW w:w="258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209</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(2,114)</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(1,895)</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6,334</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6,894</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5,749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2,760</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10,728</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(26,081)</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6,384</w:t>
            </w:r>
          </w:p>
        </w:tc>
      </w:tr>
      <w:tr>
        <w:trPr>
          <w:trHeight w:val="256"/>
        </w:trPr>
        <w:tc>
          <w:tcPr>
            <w:tcW w:w="2580" w:type="dxa"/>
            <w:vAlign w:val="bottom"/>
          </w:tcPr>
          <w:p>
            <w:pPr>
              <w:ind w:left="40"/>
              <w:spacing w:after="0"/>
              <w:rPr>
                <w:sz w:val="20"/>
                <w:szCs w:val="20"/>
                <w:color w:val="auto"/>
              </w:rPr>
            </w:pPr>
            <w:r>
              <w:rPr>
                <w:rFonts w:ascii="Arial" w:cs="Arial" w:eastAsia="Arial" w:hAnsi="Arial"/>
                <w:sz w:val="18"/>
                <w:szCs w:val="18"/>
                <w:color w:val="auto"/>
              </w:rPr>
              <w:t>Less: Net income (loss)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rPr>
              <w:t>attributable to noncontrolling</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rPr>
              <w:t>interests and redeemable</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580" w:type="dxa"/>
            <w:vAlign w:val="bottom"/>
          </w:tcPr>
          <w:p>
            <w:pPr>
              <w:ind w:left="200"/>
              <w:spacing w:after="0"/>
              <w:rPr>
                <w:sz w:val="20"/>
                <w:szCs w:val="20"/>
                <w:color w:val="auto"/>
              </w:rPr>
            </w:pPr>
            <w:r>
              <w:rPr>
                <w:rFonts w:ascii="Arial" w:cs="Arial" w:eastAsia="Arial" w:hAnsi="Arial"/>
                <w:sz w:val="18"/>
                <w:szCs w:val="18"/>
                <w:color w:val="auto"/>
              </w:rPr>
              <w:t>subsidiary preferred stock</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50</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w w:val="91"/>
              </w:rPr>
              <w:t>Net income (loss) attributable to</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Comcast Corporation</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6,334</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6,894</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5,749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2,760</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10,678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(26,081)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6,334</w:t>
            </w:r>
          </w:p>
        </w:tc>
      </w:tr>
      <w:tr>
        <w:trPr>
          <w:trHeight w:val="34"/>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5"/>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w w:val="98"/>
              </w:rPr>
              <w:t>Comprehensive income (loss)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attributable to Comcast</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Corporation</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6,340</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6,896</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5,749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2,765</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10,694</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(26,104)</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6,340</w:t>
            </w:r>
          </w:p>
        </w:tc>
      </w:tr>
      <w:tr>
        <w:trPr>
          <w:trHeight w:val="34"/>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513"/>
        </w:trPr>
        <w:tc>
          <w:tcPr>
            <w:tcW w:w="2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492"/>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73"/>
              <w:spacing w:after="0"/>
              <w:rPr>
                <w:sz w:val="20"/>
                <w:szCs w:val="20"/>
                <w:color w:val="auto"/>
              </w:rPr>
            </w:pPr>
            <w:r>
              <w:rPr>
                <w:rFonts w:ascii="Arial" w:cs="Arial" w:eastAsia="Arial" w:hAnsi="Arial"/>
                <w:sz w:val="14"/>
                <w:szCs w:val="14"/>
                <w:color w:val="auto"/>
                <w:w w:val="99"/>
              </w:rPr>
              <w:t>Elimination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2"/>
              </w:rPr>
              <w:t>Non-</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10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Comcast</w:t>
            </w:r>
          </w:p>
        </w:tc>
        <w:tc>
          <w:tcPr>
            <w:tcW w:w="300" w:type="dxa"/>
            <w:vAlign w:val="bottom"/>
          </w:tcPr>
          <w:p>
            <w:pPr>
              <w:spacing w:after="0"/>
              <w:rPr>
                <w:sz w:val="12"/>
                <w:szCs w:val="12"/>
                <w:color w:val="auto"/>
              </w:rPr>
            </w:pP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CCCL</w:t>
            </w:r>
          </w:p>
        </w:tc>
        <w:tc>
          <w:tcPr>
            <w:tcW w:w="180" w:type="dxa"/>
            <w:vAlign w:val="bottom"/>
          </w:tcPr>
          <w:p>
            <w:pPr>
              <w:spacing w:after="0"/>
              <w:rPr>
                <w:sz w:val="12"/>
                <w:szCs w:val="12"/>
                <w:color w:val="auto"/>
              </w:rPr>
            </w:pPr>
          </w:p>
        </w:tc>
        <w:tc>
          <w:tcPr>
            <w:tcW w:w="10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NBCUniversal</w:t>
            </w: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5"/>
              </w:rPr>
              <w:t>Guarantor</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94"/>
              </w:rPr>
              <w:t>Consolidation</w:t>
            </w:r>
          </w:p>
        </w:tc>
        <w:tc>
          <w:tcPr>
            <w:tcW w:w="18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Parent</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Holdings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Parent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w w:val="98"/>
              </w:rPr>
              <w:t>Media 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4"/>
              </w:rPr>
              <w:t>Subsidiaries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w w:val="93"/>
              </w:rPr>
              <w:t>Adjustments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5"/>
              </w:rPr>
              <w:t>Corporation</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Service revenue</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41,873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41,873</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Management fee revenue</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556</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547</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(1,103)</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556</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547</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41,873</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(1,103)</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41,873</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12,391</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12,391</w:t>
            </w:r>
          </w:p>
        </w:tc>
      </w:tr>
      <w:tr>
        <w:trPr>
          <w:trHeight w:val="256"/>
        </w:trPr>
        <w:tc>
          <w:tcPr>
            <w:tcW w:w="2580" w:type="dxa"/>
            <w:vAlign w:val="bottom"/>
          </w:tcPr>
          <w:p>
            <w:pPr>
              <w:ind w:left="180"/>
              <w:spacing w:after="0"/>
              <w:rPr>
                <w:sz w:val="20"/>
                <w:szCs w:val="20"/>
                <w:color w:val="auto"/>
              </w:rPr>
            </w:pPr>
            <w:r>
              <w:rPr>
                <w:rFonts w:ascii="Arial" w:cs="Arial" w:eastAsia="Arial" w:hAnsi="Arial"/>
                <w:sz w:val="18"/>
                <w:szCs w:val="18"/>
                <w:color w:val="auto"/>
              </w:rPr>
              <w:t>Other operating and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administrative</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370</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547</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567</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11,726</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(1,103)</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12,107</w:t>
            </w:r>
          </w:p>
        </w:tc>
      </w:tr>
      <w:tr>
        <w:trPr>
          <w:trHeight w:val="256"/>
        </w:trPr>
        <w:tc>
          <w:tcPr>
            <w:tcW w:w="2580" w:type="dxa"/>
            <w:vAlign w:val="bottom"/>
          </w:tcPr>
          <w:p>
            <w:pPr>
              <w:ind w:left="180"/>
              <w:spacing w:after="0"/>
              <w:rPr>
                <w:sz w:val="20"/>
                <w:szCs w:val="20"/>
                <w:color w:val="auto"/>
              </w:rPr>
            </w:pPr>
            <w:r>
              <w:rPr>
                <w:rFonts w:ascii="Arial" w:cs="Arial" w:eastAsia="Arial" w:hAnsi="Arial"/>
                <w:sz w:val="18"/>
                <w:szCs w:val="18"/>
                <w:color w:val="auto"/>
              </w:rPr>
              <w:t>Advertising, marketing and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promotion</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3,290</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3,290</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3,871</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3,885</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1,087</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1,090</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Other operating gains</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387</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547</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567</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32,365</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(1,103)</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32,763</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169</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(567)</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9,508</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9,110</w:t>
            </w:r>
          </w:p>
        </w:tc>
      </w:tr>
      <w:tr>
        <w:trPr>
          <w:trHeight w:val="270"/>
        </w:trPr>
        <w:tc>
          <w:tcPr>
            <w:tcW w:w="25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(1,048)</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(228)</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(1,513)</w:t>
            </w:r>
          </w:p>
        </w:tc>
      </w:tr>
      <w:tr>
        <w:trPr>
          <w:trHeight w:val="256"/>
        </w:trPr>
        <w:tc>
          <w:tcPr>
            <w:tcW w:w="2580" w:type="dxa"/>
            <w:vAlign w:val="bottom"/>
          </w:tcPr>
          <w:p>
            <w:pPr>
              <w:ind w:left="40"/>
              <w:spacing w:after="0"/>
              <w:rPr>
                <w:sz w:val="20"/>
                <w:szCs w:val="20"/>
                <w:color w:val="auto"/>
              </w:rPr>
            </w:pPr>
            <w:r>
              <w:rPr>
                <w:rFonts w:ascii="Arial" w:cs="Arial" w:eastAsia="Arial" w:hAnsi="Arial"/>
                <w:sz w:val="18"/>
                <w:szCs w:val="18"/>
                <w:color w:val="auto"/>
              </w:rPr>
              <w:t>Investment and other income</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200"/>
              <w:spacing w:after="0"/>
              <w:rPr>
                <w:sz w:val="20"/>
                <w:szCs w:val="20"/>
                <w:color w:val="auto"/>
              </w:rPr>
            </w:pPr>
            <w:r>
              <w:rPr>
                <w:rFonts w:ascii="Arial" w:cs="Arial" w:eastAsia="Arial" w:hAnsi="Arial"/>
                <w:sz w:val="18"/>
                <w:szCs w:val="18"/>
                <w:color w:val="auto"/>
              </w:rPr>
              <w:t>(loss), net</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5,666</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5,328</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4,633</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3,287</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2,631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(21,316)</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229</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w w:val="91"/>
              </w:rPr>
              <w:t>Income (loss) before income taxes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4,787</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5,322</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4,522</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2,492</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12,019</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(21,316)</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7,826</w:t>
            </w:r>
          </w:p>
        </w:tc>
      </w:tr>
      <w:tr>
        <w:trPr>
          <w:trHeight w:val="270"/>
        </w:trPr>
        <w:tc>
          <w:tcPr>
            <w:tcW w:w="258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307</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(2,948)</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(2,629)</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5,094</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5,306</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4,561</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2,481</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9,071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(21,316)</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5,197</w:t>
            </w:r>
          </w:p>
        </w:tc>
      </w:tr>
      <w:tr>
        <w:trPr>
          <w:trHeight w:val="256"/>
        </w:trPr>
        <w:tc>
          <w:tcPr>
            <w:tcW w:w="2580" w:type="dxa"/>
            <w:vAlign w:val="bottom"/>
          </w:tcPr>
          <w:p>
            <w:pPr>
              <w:ind w:left="40"/>
              <w:spacing w:after="0"/>
              <w:rPr>
                <w:sz w:val="20"/>
                <w:szCs w:val="20"/>
                <w:color w:val="auto"/>
              </w:rPr>
            </w:pPr>
            <w:r>
              <w:rPr>
                <w:rFonts w:ascii="Arial" w:cs="Arial" w:eastAsia="Arial" w:hAnsi="Arial"/>
                <w:sz w:val="18"/>
                <w:szCs w:val="18"/>
                <w:color w:val="auto"/>
              </w:rPr>
              <w:t>Less: Net income (loss)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rPr>
              <w:t>attributable to noncontrolling</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rPr>
              <w:t>interests and redeemable</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580" w:type="dxa"/>
            <w:vAlign w:val="bottom"/>
          </w:tcPr>
          <w:p>
            <w:pPr>
              <w:ind w:left="200"/>
              <w:spacing w:after="0"/>
              <w:rPr>
                <w:sz w:val="20"/>
                <w:szCs w:val="20"/>
                <w:color w:val="auto"/>
              </w:rPr>
            </w:pPr>
            <w:r>
              <w:rPr>
                <w:rFonts w:ascii="Arial" w:cs="Arial" w:eastAsia="Arial" w:hAnsi="Arial"/>
                <w:sz w:val="18"/>
                <w:szCs w:val="18"/>
                <w:color w:val="auto"/>
              </w:rPr>
              <w:t>subsidiary preferred stock</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103</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w w:val="91"/>
              </w:rPr>
              <w:t>Net income (loss) attributable to</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Comcast Corporation</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5,094</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5,306</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4,561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2,481</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8,968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(21,316)</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5,094</w:t>
            </w:r>
          </w:p>
        </w:tc>
      </w:tr>
      <w:tr>
        <w:trPr>
          <w:trHeight w:val="34"/>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5"/>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w w:val="98"/>
              </w:rPr>
              <w:t>Comprehensive income (loss)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attributable to Comcast</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Corporation</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5,230</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5,320</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4,563</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2,531</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8,969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(21,383)</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5,230</w:t>
            </w:r>
          </w:p>
        </w:tc>
      </w:tr>
      <w:tr>
        <w:trPr>
          <w:trHeight w:val="34"/>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621"/>
        </w:trPr>
        <w:tc>
          <w:tcPr>
            <w:tcW w:w="2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492"/>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Six Months Ended June 30, 2018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33"/>
              <w:spacing w:after="0"/>
              <w:rPr>
                <w:sz w:val="20"/>
                <w:szCs w:val="20"/>
                <w:color w:val="auto"/>
              </w:rPr>
            </w:pPr>
            <w:r>
              <w:rPr>
                <w:rFonts w:ascii="Arial" w:cs="Arial" w:eastAsia="Arial" w:hAnsi="Arial"/>
                <w:sz w:val="14"/>
                <w:szCs w:val="14"/>
                <w:color w:val="auto"/>
                <w:w w:val="99"/>
              </w:rPr>
              <w:t>Elimination</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2"/>
              </w:rPr>
              <w:t>Non-</w:t>
            </w:r>
          </w:p>
        </w:tc>
        <w:tc>
          <w:tcPr>
            <w:tcW w:w="180" w:type="dxa"/>
            <w:vAlign w:val="bottom"/>
          </w:tcPr>
          <w:p>
            <w:pPr>
              <w:spacing w:after="0"/>
              <w:rPr>
                <w:sz w:val="12"/>
                <w:szCs w:val="12"/>
                <w:color w:val="auto"/>
              </w:rPr>
            </w:pPr>
          </w:p>
        </w:tc>
        <w:tc>
          <w:tcPr>
            <w:tcW w:w="1040" w:type="dxa"/>
            <w:vAlign w:val="bottom"/>
          </w:tcPr>
          <w:p>
            <w:pPr>
              <w:jc w:val="center"/>
              <w:ind w:right="33"/>
              <w:spacing w:after="0" w:line="149" w:lineRule="exact"/>
              <w:rPr>
                <w:sz w:val="20"/>
                <w:szCs w:val="20"/>
                <w:color w:val="auto"/>
              </w:rPr>
            </w:pPr>
            <w:r>
              <w:rPr>
                <w:rFonts w:ascii="Arial" w:cs="Arial" w:eastAsia="Arial" w:hAnsi="Arial"/>
                <w:sz w:val="14"/>
                <w:szCs w:val="14"/>
                <w:color w:val="auto"/>
                <w:w w:val="85"/>
              </w:rPr>
              <w:t>and</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ind w:right="291"/>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1000" w:type="dxa"/>
            <w:vAlign w:val="bottom"/>
          </w:tcPr>
          <w:p>
            <w:pPr>
              <w:jc w:val="right"/>
              <w:ind w:right="271"/>
              <w:spacing w:after="0" w:line="149" w:lineRule="exact"/>
              <w:rPr>
                <w:sz w:val="20"/>
                <w:szCs w:val="20"/>
                <w:color w:val="auto"/>
              </w:rPr>
            </w:pPr>
            <w:r>
              <w:rPr>
                <w:rFonts w:ascii="Arial" w:cs="Arial" w:eastAsia="Arial" w:hAnsi="Arial"/>
                <w:sz w:val="14"/>
                <w:szCs w:val="14"/>
                <w:color w:val="auto"/>
              </w:rPr>
              <w:t>Comcast</w:t>
            </w:r>
          </w:p>
        </w:tc>
        <w:tc>
          <w:tcPr>
            <w:tcW w:w="300" w:type="dxa"/>
            <w:vAlign w:val="bottom"/>
          </w:tcPr>
          <w:p>
            <w:pPr>
              <w:spacing w:after="0"/>
              <w:rPr>
                <w:sz w:val="12"/>
                <w:szCs w:val="12"/>
                <w:color w:val="auto"/>
              </w:rPr>
            </w:pPr>
          </w:p>
        </w:tc>
        <w:tc>
          <w:tcPr>
            <w:tcW w:w="960" w:type="dxa"/>
            <w:vAlign w:val="bottom"/>
          </w:tcPr>
          <w:p>
            <w:pPr>
              <w:jc w:val="right"/>
              <w:ind w:right="331"/>
              <w:spacing w:after="0" w:line="149" w:lineRule="exact"/>
              <w:rPr>
                <w:sz w:val="20"/>
                <w:szCs w:val="20"/>
                <w:color w:val="auto"/>
              </w:rPr>
            </w:pPr>
            <w:r>
              <w:rPr>
                <w:rFonts w:ascii="Arial" w:cs="Arial" w:eastAsia="Arial" w:hAnsi="Arial"/>
                <w:sz w:val="14"/>
                <w:szCs w:val="14"/>
                <w:color w:val="auto"/>
              </w:rPr>
              <w:t>CCCL</w:t>
            </w:r>
          </w:p>
        </w:tc>
        <w:tc>
          <w:tcPr>
            <w:tcW w:w="180" w:type="dxa"/>
            <w:vAlign w:val="bottom"/>
          </w:tcPr>
          <w:p>
            <w:pPr>
              <w:spacing w:after="0"/>
              <w:rPr>
                <w:sz w:val="12"/>
                <w:szCs w:val="12"/>
                <w:color w:val="auto"/>
              </w:rPr>
            </w:pPr>
          </w:p>
        </w:tc>
        <w:tc>
          <w:tcPr>
            <w:tcW w:w="1080" w:type="dxa"/>
            <w:vAlign w:val="bottom"/>
          </w:tcPr>
          <w:p>
            <w:pPr>
              <w:jc w:val="right"/>
              <w:ind w:right="91"/>
              <w:spacing w:after="0" w:line="149" w:lineRule="exact"/>
              <w:rPr>
                <w:sz w:val="20"/>
                <w:szCs w:val="20"/>
                <w:color w:val="auto"/>
              </w:rPr>
            </w:pPr>
            <w:r>
              <w:rPr>
                <w:rFonts w:ascii="Arial" w:cs="Arial" w:eastAsia="Arial" w:hAnsi="Arial"/>
                <w:sz w:val="14"/>
                <w:szCs w:val="14"/>
                <w:color w:val="auto"/>
              </w:rPr>
              <w:t>NBCUniversal</w:t>
            </w: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5"/>
              </w:rPr>
              <w:t>Guarantor</w:t>
            </w:r>
          </w:p>
        </w:tc>
        <w:tc>
          <w:tcPr>
            <w:tcW w:w="180" w:type="dxa"/>
            <w:vAlign w:val="bottom"/>
          </w:tcPr>
          <w:p>
            <w:pPr>
              <w:spacing w:after="0"/>
              <w:rPr>
                <w:sz w:val="12"/>
                <w:szCs w:val="12"/>
                <w:color w:val="auto"/>
              </w:rPr>
            </w:pPr>
          </w:p>
        </w:tc>
        <w:tc>
          <w:tcPr>
            <w:tcW w:w="1040" w:type="dxa"/>
            <w:vAlign w:val="bottom"/>
          </w:tcPr>
          <w:p>
            <w:pPr>
              <w:jc w:val="center"/>
              <w:ind w:right="33"/>
              <w:spacing w:after="0" w:line="149" w:lineRule="exact"/>
              <w:rPr>
                <w:sz w:val="20"/>
                <w:szCs w:val="20"/>
                <w:color w:val="auto"/>
              </w:rPr>
            </w:pPr>
            <w:r>
              <w:rPr>
                <w:rFonts w:ascii="Arial" w:cs="Arial" w:eastAsia="Arial" w:hAnsi="Arial"/>
                <w:sz w:val="14"/>
                <w:szCs w:val="14"/>
                <w:color w:val="auto"/>
                <w:w w:val="94"/>
              </w:rPr>
              <w:t>Consolidation</w:t>
            </w:r>
          </w:p>
        </w:tc>
        <w:tc>
          <w:tcPr>
            <w:tcW w:w="22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Parent</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Holdings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Parent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w w:val="98"/>
              </w:rPr>
              <w:t>Media 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4"/>
              </w:rPr>
              <w:t>Subsidiaries</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3"/>
              </w:rPr>
              <w:t>Adjustments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5"/>
              </w:rPr>
              <w:t>Corporation</w:t>
            </w:r>
          </w:p>
        </w:tc>
      </w:tr>
      <w:tr>
        <w:trPr>
          <w:trHeight w:val="224"/>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6"/>
              </w:rPr>
              <w:t>Net cash provided by (used in)</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(796)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13,896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12,537</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Net transactions with affiliates</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4,096</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(455)</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571</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(4,290)</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(4,213)</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(4,223)</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w w:val="97"/>
              </w:rPr>
              <w:t>Cash paid for intangible assets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(928)</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(930)</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4"/>
              </w:rPr>
              <w:t>Acquisitions and construction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real estate properties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Construction of Universal</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Beijing Resort</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Acquisitions, net of cash</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acquired</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Proceeds from sales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113</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Purchases of investments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(480)</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(538)</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449</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131</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580</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6"/>
              </w:rPr>
              <w:t>Net cash provided by (used in)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3,980</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608</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(9,966)</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(5,306)</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6"/>
              </w:rPr>
              <w:t>Proceeds from (repayments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short-term borrowings, net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(902)</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925</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23</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Proceeds from borrowings</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3,973</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306</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4,279</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2"/>
              </w:rPr>
              <w:t>Repurchases and repayments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debt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(1,900)</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(2,444)</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(4,347)</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7"/>
              </w:rPr>
              <w:t>Repurchases of common stock</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w w:val="90"/>
              </w:rPr>
              <w:t>under repurchase program and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employee plans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(2,998)</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(2,998)</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(1,616)</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(1,616)</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Distributions to noncontrolling</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rPr>
              <w:t>interests and dividends for</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rPr>
              <w:t>redeemable subsidiary</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preferred stock</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6"/>
              </w:rPr>
              <w:t>Net cash provided by (used in)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(3,489)</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(1,468)</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(4,960)</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2"/>
        </w:trPr>
        <w:tc>
          <w:tcPr>
            <w:tcW w:w="2600" w:type="dxa"/>
            <w:vAlign w:val="bottom"/>
          </w:tcPr>
          <w:p>
            <w:pPr>
              <w:ind w:left="40"/>
              <w:spacing w:after="0"/>
              <w:rPr>
                <w:sz w:val="20"/>
                <w:szCs w:val="20"/>
                <w:color w:val="auto"/>
              </w:rPr>
            </w:pPr>
            <w:r>
              <w:rPr>
                <w:rFonts w:ascii="Arial" w:cs="Arial" w:eastAsia="Arial" w:hAnsi="Arial"/>
                <w:sz w:val="18"/>
                <w:szCs w:val="18"/>
                <w:color w:val="auto"/>
                <w:w w:val="94"/>
              </w:rPr>
              <w:t>Increase (decrease) in cash, cash</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w w:val="95"/>
              </w:rPr>
              <w:t>equivalents and restricted cash</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(191)</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2,462</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2,271</w:t>
            </w:r>
          </w:p>
        </w:tc>
      </w:tr>
      <w:tr>
        <w:trPr>
          <w:trHeight w:val="256"/>
        </w:trPr>
        <w:tc>
          <w:tcPr>
            <w:tcW w:w="2600" w:type="dxa"/>
            <w:vAlign w:val="bottom"/>
          </w:tcPr>
          <w:p>
            <w:pPr>
              <w:ind w:left="40"/>
              <w:spacing w:after="0"/>
              <w:rPr>
                <w:sz w:val="20"/>
                <w:szCs w:val="20"/>
                <w:color w:val="auto"/>
              </w:rPr>
            </w:pPr>
            <w:r>
              <w:rPr>
                <w:rFonts w:ascii="Arial" w:cs="Arial" w:eastAsia="Arial" w:hAnsi="Arial"/>
                <w:sz w:val="18"/>
                <w:szCs w:val="18"/>
                <w:color w:val="auto"/>
              </w:rPr>
              <w:t>Cash, cash equivalents and</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00" w:type="dxa"/>
            <w:vAlign w:val="bottom"/>
          </w:tcPr>
          <w:p>
            <w:pPr>
              <w:ind w:left="200"/>
              <w:spacing w:after="0"/>
              <w:rPr>
                <w:sz w:val="20"/>
                <w:szCs w:val="20"/>
                <w:color w:val="auto"/>
              </w:rPr>
            </w:pPr>
            <w:r>
              <w:rPr>
                <w:rFonts w:ascii="Arial" w:cs="Arial" w:eastAsia="Arial" w:hAnsi="Arial"/>
                <w:sz w:val="18"/>
                <w:szCs w:val="18"/>
                <w:color w:val="auto"/>
              </w:rPr>
              <w:t>restricted cash, beginning of</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period</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496</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3,075</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3,571</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w w:val="94"/>
              </w:rPr>
              <w:t>restricted cash, end of period</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305</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5,537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ind w:left="8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5,842</w:t>
            </w:r>
          </w:p>
        </w:tc>
      </w:tr>
      <w:tr>
        <w:trPr>
          <w:trHeight w:val="34"/>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1"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33"/>
              <w:spacing w:after="0"/>
              <w:rPr>
                <w:sz w:val="20"/>
                <w:szCs w:val="20"/>
                <w:color w:val="auto"/>
              </w:rPr>
            </w:pPr>
            <w:r>
              <w:rPr>
                <w:rFonts w:ascii="Arial" w:cs="Arial" w:eastAsia="Arial" w:hAnsi="Arial"/>
                <w:sz w:val="14"/>
                <w:szCs w:val="14"/>
                <w:color w:val="auto"/>
                <w:w w:val="99"/>
              </w:rPr>
              <w:t>Elimination</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2"/>
              </w:rPr>
              <w:t>Non-</w:t>
            </w:r>
          </w:p>
        </w:tc>
        <w:tc>
          <w:tcPr>
            <w:tcW w:w="180" w:type="dxa"/>
            <w:vAlign w:val="bottom"/>
          </w:tcPr>
          <w:p>
            <w:pPr>
              <w:spacing w:after="0"/>
              <w:rPr>
                <w:sz w:val="12"/>
                <w:szCs w:val="12"/>
                <w:color w:val="auto"/>
              </w:rPr>
            </w:pPr>
          </w:p>
        </w:tc>
        <w:tc>
          <w:tcPr>
            <w:tcW w:w="1040" w:type="dxa"/>
            <w:vAlign w:val="bottom"/>
          </w:tcPr>
          <w:p>
            <w:pPr>
              <w:jc w:val="center"/>
              <w:ind w:right="33"/>
              <w:spacing w:after="0" w:line="149" w:lineRule="exact"/>
              <w:rPr>
                <w:sz w:val="20"/>
                <w:szCs w:val="20"/>
                <w:color w:val="auto"/>
              </w:rPr>
            </w:pPr>
            <w:r>
              <w:rPr>
                <w:rFonts w:ascii="Arial" w:cs="Arial" w:eastAsia="Arial" w:hAnsi="Arial"/>
                <w:sz w:val="14"/>
                <w:szCs w:val="14"/>
                <w:color w:val="auto"/>
                <w:w w:val="85"/>
              </w:rPr>
              <w:t>and</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ind w:right="291"/>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1000" w:type="dxa"/>
            <w:vAlign w:val="bottom"/>
          </w:tcPr>
          <w:p>
            <w:pPr>
              <w:jc w:val="right"/>
              <w:ind w:right="271"/>
              <w:spacing w:after="0" w:line="149" w:lineRule="exact"/>
              <w:rPr>
                <w:sz w:val="20"/>
                <w:szCs w:val="20"/>
                <w:color w:val="auto"/>
              </w:rPr>
            </w:pPr>
            <w:r>
              <w:rPr>
                <w:rFonts w:ascii="Arial" w:cs="Arial" w:eastAsia="Arial" w:hAnsi="Arial"/>
                <w:sz w:val="14"/>
                <w:szCs w:val="14"/>
                <w:color w:val="auto"/>
              </w:rPr>
              <w:t>Comcast</w:t>
            </w:r>
          </w:p>
        </w:tc>
        <w:tc>
          <w:tcPr>
            <w:tcW w:w="300" w:type="dxa"/>
            <w:vAlign w:val="bottom"/>
          </w:tcPr>
          <w:p>
            <w:pPr>
              <w:spacing w:after="0"/>
              <w:rPr>
                <w:sz w:val="12"/>
                <w:szCs w:val="12"/>
                <w:color w:val="auto"/>
              </w:rPr>
            </w:pPr>
          </w:p>
        </w:tc>
        <w:tc>
          <w:tcPr>
            <w:tcW w:w="960" w:type="dxa"/>
            <w:vAlign w:val="bottom"/>
          </w:tcPr>
          <w:p>
            <w:pPr>
              <w:jc w:val="right"/>
              <w:ind w:right="331"/>
              <w:spacing w:after="0" w:line="149" w:lineRule="exact"/>
              <w:rPr>
                <w:sz w:val="20"/>
                <w:szCs w:val="20"/>
                <w:color w:val="auto"/>
              </w:rPr>
            </w:pPr>
            <w:r>
              <w:rPr>
                <w:rFonts w:ascii="Arial" w:cs="Arial" w:eastAsia="Arial" w:hAnsi="Arial"/>
                <w:sz w:val="14"/>
                <w:szCs w:val="14"/>
                <w:color w:val="auto"/>
              </w:rPr>
              <w:t>CCCL</w:t>
            </w:r>
          </w:p>
        </w:tc>
        <w:tc>
          <w:tcPr>
            <w:tcW w:w="180" w:type="dxa"/>
            <w:vAlign w:val="bottom"/>
          </w:tcPr>
          <w:p>
            <w:pPr>
              <w:spacing w:after="0"/>
              <w:rPr>
                <w:sz w:val="12"/>
                <w:szCs w:val="12"/>
                <w:color w:val="auto"/>
              </w:rPr>
            </w:pPr>
          </w:p>
        </w:tc>
        <w:tc>
          <w:tcPr>
            <w:tcW w:w="1080" w:type="dxa"/>
            <w:vAlign w:val="bottom"/>
          </w:tcPr>
          <w:p>
            <w:pPr>
              <w:jc w:val="right"/>
              <w:ind w:right="91"/>
              <w:spacing w:after="0" w:line="149" w:lineRule="exact"/>
              <w:rPr>
                <w:sz w:val="20"/>
                <w:szCs w:val="20"/>
                <w:color w:val="auto"/>
              </w:rPr>
            </w:pPr>
            <w:r>
              <w:rPr>
                <w:rFonts w:ascii="Arial" w:cs="Arial" w:eastAsia="Arial" w:hAnsi="Arial"/>
                <w:sz w:val="14"/>
                <w:szCs w:val="14"/>
                <w:color w:val="auto"/>
              </w:rPr>
              <w:t>NBCUniversal</w:t>
            </w: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5"/>
              </w:rPr>
              <w:t>Guarantor</w:t>
            </w:r>
          </w:p>
        </w:tc>
        <w:tc>
          <w:tcPr>
            <w:tcW w:w="180" w:type="dxa"/>
            <w:vAlign w:val="bottom"/>
          </w:tcPr>
          <w:p>
            <w:pPr>
              <w:spacing w:after="0"/>
              <w:rPr>
                <w:sz w:val="12"/>
                <w:szCs w:val="12"/>
                <w:color w:val="auto"/>
              </w:rPr>
            </w:pPr>
          </w:p>
        </w:tc>
        <w:tc>
          <w:tcPr>
            <w:tcW w:w="1040" w:type="dxa"/>
            <w:vAlign w:val="bottom"/>
          </w:tcPr>
          <w:p>
            <w:pPr>
              <w:jc w:val="center"/>
              <w:ind w:right="33"/>
              <w:spacing w:after="0" w:line="149" w:lineRule="exact"/>
              <w:rPr>
                <w:sz w:val="20"/>
                <w:szCs w:val="20"/>
                <w:color w:val="auto"/>
              </w:rPr>
            </w:pPr>
            <w:r>
              <w:rPr>
                <w:rFonts w:ascii="Arial" w:cs="Arial" w:eastAsia="Arial" w:hAnsi="Arial"/>
                <w:sz w:val="14"/>
                <w:szCs w:val="14"/>
                <w:color w:val="auto"/>
                <w:w w:val="94"/>
              </w:rPr>
              <w:t>Consolidation</w:t>
            </w:r>
          </w:p>
        </w:tc>
        <w:tc>
          <w:tcPr>
            <w:tcW w:w="22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0"/>
              </w:rPr>
              <w:t>Comcast</w:t>
            </w:r>
          </w:p>
        </w:tc>
        <w:tc>
          <w:tcPr>
            <w:tcW w:w="0" w:type="dxa"/>
            <w:vAlign w:val="bottom"/>
          </w:tcPr>
          <w:p>
            <w:pPr>
              <w:spacing w:after="0"/>
              <w:rPr>
                <w:sz w:val="1"/>
                <w:szCs w:val="1"/>
                <w:color w:val="auto"/>
              </w:rPr>
            </w:pPr>
          </w:p>
        </w:tc>
      </w:tr>
      <w:tr>
        <w:trPr>
          <w:trHeight w:val="188"/>
        </w:trPr>
        <w:tc>
          <w:tcPr>
            <w:tcW w:w="2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Parent</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Holdings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Parent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w w:val="98"/>
              </w:rPr>
              <w:t>Media 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4"/>
              </w:rPr>
              <w:t>Subsidiaries</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3"/>
              </w:rPr>
              <w:t>Adjustments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5"/>
              </w:rPr>
              <w:t>Corporation</w:t>
            </w:r>
          </w:p>
        </w:tc>
        <w:tc>
          <w:tcPr>
            <w:tcW w:w="0" w:type="dxa"/>
            <w:vAlign w:val="bottom"/>
          </w:tcPr>
          <w:p>
            <w:pPr>
              <w:spacing w:after="0"/>
              <w:rPr>
                <w:sz w:val="1"/>
                <w:szCs w:val="1"/>
                <w:color w:val="auto"/>
              </w:rPr>
            </w:pPr>
          </w:p>
        </w:tc>
      </w:tr>
      <w:tr>
        <w:trPr>
          <w:trHeight w:val="224"/>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6"/>
              </w:rPr>
              <w:t>Net cash provided by (used in)</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102</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(776)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12,004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10,749</w:t>
            </w:r>
          </w:p>
        </w:tc>
        <w:tc>
          <w:tcPr>
            <w:tcW w:w="0" w:type="dxa"/>
            <w:vAlign w:val="bottom"/>
          </w:tcPr>
          <w:p>
            <w:pPr>
              <w:spacing w:after="0"/>
              <w:rPr>
                <w:sz w:val="1"/>
                <w:szCs w:val="1"/>
                <w:color w:val="auto"/>
              </w:rPr>
            </w:pP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Net transactions with affiliates</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2,559</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666</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605</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(3,728)</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(4,402)</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(4,405)</w:t>
            </w:r>
          </w:p>
        </w:tc>
        <w:tc>
          <w:tcPr>
            <w:tcW w:w="0" w:type="dxa"/>
            <w:vAlign w:val="bottom"/>
          </w:tcPr>
          <w:p>
            <w:pPr>
              <w:spacing w:after="0"/>
              <w:rPr>
                <w:sz w:val="1"/>
                <w:szCs w:val="1"/>
                <w:color w:val="auto"/>
              </w:rPr>
            </w:pP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w w:val="97"/>
              </w:rPr>
              <w:t>Cash paid for intangible assets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(769)</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4"/>
              </w:rPr>
              <w:t>Acquisitions and construction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real estate properties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Construction of Universal</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Beijing Resort</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Acquisitions, net of cash</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acquired</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(398)</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Proceeds from sales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Purchases of investments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(1,748)</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6"/>
              </w:rPr>
              <w:t>Net cash provided by (used in)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2,492</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666</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607</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(11,070)</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(7,407)</w:t>
            </w:r>
          </w:p>
        </w:tc>
        <w:tc>
          <w:tcPr>
            <w:tcW w:w="0" w:type="dxa"/>
            <w:vAlign w:val="bottom"/>
          </w:tcPr>
          <w:p>
            <w:pPr>
              <w:spacing w:after="0"/>
              <w:rPr>
                <w:sz w:val="1"/>
                <w:szCs w:val="1"/>
                <w:color w:val="auto"/>
              </w:rPr>
            </w:pP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6"/>
              </w:rPr>
              <w:t>Proceeds from (repayments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short-term borrowings, net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(627)</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(1,068)</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(1,695)</w:t>
            </w:r>
          </w:p>
        </w:tc>
        <w:tc>
          <w:tcPr>
            <w:tcW w:w="0" w:type="dxa"/>
            <w:vAlign w:val="bottom"/>
          </w:tcPr>
          <w:p>
            <w:pPr>
              <w:spacing w:after="0"/>
              <w:rPr>
                <w:sz w:val="1"/>
                <w:szCs w:val="1"/>
                <w:color w:val="auto"/>
              </w:rPr>
            </w:pP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Proceeds from borrowings</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3,500</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5,463</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8,963</w:t>
            </w:r>
          </w:p>
        </w:tc>
        <w:tc>
          <w:tcPr>
            <w:tcW w:w="0" w:type="dxa"/>
            <w:vAlign w:val="bottom"/>
          </w:tcPr>
          <w:p>
            <w:pPr>
              <w:spacing w:after="0"/>
              <w:rPr>
                <w:sz w:val="1"/>
                <w:szCs w:val="1"/>
                <w:color w:val="auto"/>
              </w:rPr>
            </w:pP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2"/>
              </w:rPr>
              <w:t>Repurchases and repayments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debt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(3,414)</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(4,967)</w:t>
            </w:r>
          </w:p>
        </w:tc>
        <w:tc>
          <w:tcPr>
            <w:tcW w:w="0" w:type="dxa"/>
            <w:vAlign w:val="bottom"/>
          </w:tcPr>
          <w:p>
            <w:pPr>
              <w:spacing w:after="0"/>
              <w:rPr>
                <w:sz w:val="1"/>
                <w:szCs w:val="1"/>
                <w:color w:val="auto"/>
              </w:rPr>
            </w:pP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7"/>
              </w:rPr>
              <w:t>Repurchases of common stock</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w w:val="90"/>
              </w:rPr>
              <w:t>under repurchase program and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employee plans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(2,476)</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(2,476)</w:t>
            </w:r>
          </w:p>
        </w:tc>
        <w:tc>
          <w:tcPr>
            <w:tcW w:w="0" w:type="dxa"/>
            <w:vAlign w:val="bottom"/>
          </w:tcPr>
          <w:p>
            <w:pPr>
              <w:spacing w:after="0"/>
              <w:rPr>
                <w:sz w:val="1"/>
                <w:szCs w:val="1"/>
                <w:color w:val="auto"/>
              </w:rPr>
            </w:pP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(1,404)</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9"/>
              </w:rPr>
              <w:t>Purchase of Universal Studios</w:t>
            </w:r>
          </w:p>
        </w:tc>
        <w:tc>
          <w:tcPr>
            <w:tcW w:w="280" w:type="dxa"/>
            <w:vAlign w:val="bottom"/>
          </w:tcPr>
          <w:p>
            <w:pPr>
              <w:spacing w:after="0"/>
              <w:rPr>
                <w:sz w:val="22"/>
                <w:szCs w:val="22"/>
                <w:color w:val="auto"/>
              </w:rPr>
            </w:pPr>
          </w:p>
        </w:tc>
        <w:tc>
          <w:tcPr>
            <w:tcW w:w="100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6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08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(2,299)</w:t>
            </w:r>
          </w:p>
        </w:tc>
        <w:tc>
          <w:tcPr>
            <w:tcW w:w="180" w:type="dxa"/>
            <w:vAlign w:val="bottom"/>
          </w:tcPr>
          <w:p>
            <w:pPr>
              <w:spacing w:after="0"/>
              <w:rPr>
                <w:sz w:val="22"/>
                <w:szCs w:val="22"/>
                <w:color w:val="auto"/>
              </w:rPr>
            </w:pPr>
          </w:p>
        </w:tc>
        <w:tc>
          <w:tcPr>
            <w:tcW w:w="1040" w:type="dxa"/>
            <w:vAlign w:val="bottom"/>
            <w:vMerge w:val="restart"/>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122"/>
        </w:trPr>
        <w:tc>
          <w:tcPr>
            <w:tcW w:w="2600" w:type="dxa"/>
            <w:vAlign w:val="bottom"/>
            <w:vMerge w:val="restart"/>
          </w:tcPr>
          <w:p>
            <w:pPr>
              <w:ind w:left="340"/>
              <w:spacing w:after="0"/>
              <w:rPr>
                <w:sz w:val="20"/>
                <w:szCs w:val="20"/>
                <w:color w:val="auto"/>
              </w:rPr>
            </w:pPr>
            <w:r>
              <w:rPr>
                <w:rFonts w:ascii="Arial" w:cs="Arial" w:eastAsia="Arial" w:hAnsi="Arial"/>
                <w:sz w:val="18"/>
                <w:szCs w:val="18"/>
                <w:color w:val="auto"/>
                <w:w w:val="93"/>
              </w:rPr>
              <w:t>Japan noncontrolling interests</w:t>
            </w:r>
          </w:p>
        </w:tc>
        <w:tc>
          <w:tcPr>
            <w:tcW w:w="28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Distributions to noncontrolling</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rPr>
              <w:t>interests and dividends for</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rPr>
              <w:t>redeemable subsidiary</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preferred stock</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6"/>
              </w:rPr>
              <w:t>Net cash provided by (used in)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(2,027)</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(1,355)</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(3,935)</w:t>
            </w:r>
          </w:p>
        </w:tc>
        <w:tc>
          <w:tcPr>
            <w:tcW w:w="0" w:type="dxa"/>
            <w:vAlign w:val="bottom"/>
          </w:tcPr>
          <w:p>
            <w:pPr>
              <w:spacing w:after="0"/>
              <w:rPr>
                <w:sz w:val="1"/>
                <w:szCs w:val="1"/>
                <w:color w:val="auto"/>
              </w:rPr>
            </w:pP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600" w:type="dxa"/>
            <w:vAlign w:val="bottom"/>
          </w:tcPr>
          <w:p>
            <w:pPr>
              <w:ind w:left="40"/>
              <w:spacing w:after="0"/>
              <w:rPr>
                <w:sz w:val="20"/>
                <w:szCs w:val="20"/>
                <w:color w:val="auto"/>
              </w:rPr>
            </w:pPr>
            <w:r>
              <w:rPr>
                <w:rFonts w:ascii="Arial" w:cs="Arial" w:eastAsia="Arial" w:hAnsi="Arial"/>
                <w:sz w:val="18"/>
                <w:szCs w:val="18"/>
                <w:color w:val="auto"/>
                <w:w w:val="94"/>
              </w:rPr>
              <w:t>Increase (decrease) in cash, cash</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w w:val="95"/>
              </w:rPr>
              <w:t>equivalents and restricted cash</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(421)</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56"/>
        </w:trPr>
        <w:tc>
          <w:tcPr>
            <w:tcW w:w="2600" w:type="dxa"/>
            <w:vAlign w:val="bottom"/>
          </w:tcPr>
          <w:p>
            <w:pPr>
              <w:ind w:left="40"/>
              <w:spacing w:after="0"/>
              <w:rPr>
                <w:sz w:val="20"/>
                <w:szCs w:val="20"/>
                <w:color w:val="auto"/>
              </w:rPr>
            </w:pPr>
            <w:r>
              <w:rPr>
                <w:rFonts w:ascii="Arial" w:cs="Arial" w:eastAsia="Arial" w:hAnsi="Arial"/>
                <w:sz w:val="18"/>
                <w:szCs w:val="18"/>
                <w:color w:val="auto"/>
              </w:rPr>
              <w:t>Cash, cash equivalents and</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200"/>
              <w:spacing w:after="0"/>
              <w:rPr>
                <w:sz w:val="20"/>
                <w:szCs w:val="20"/>
                <w:color w:val="auto"/>
              </w:rPr>
            </w:pPr>
            <w:r>
              <w:rPr>
                <w:rFonts w:ascii="Arial" w:cs="Arial" w:eastAsia="Arial" w:hAnsi="Arial"/>
                <w:sz w:val="18"/>
                <w:szCs w:val="18"/>
                <w:color w:val="auto"/>
              </w:rPr>
              <w:t>restricted cash, beginning of</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period</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482</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2,933</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3,415</w:t>
            </w:r>
          </w:p>
        </w:tc>
        <w:tc>
          <w:tcPr>
            <w:tcW w:w="0" w:type="dxa"/>
            <w:vAlign w:val="bottom"/>
          </w:tcPr>
          <w:p>
            <w:pPr>
              <w:spacing w:after="0"/>
              <w:rPr>
                <w:sz w:val="1"/>
                <w:szCs w:val="1"/>
                <w:color w:val="auto"/>
              </w:rPr>
            </w:pP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w w:val="94"/>
              </w:rPr>
              <w:t>restricted cash, end of period</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310</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2,512</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ind w:left="8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2,822</w:t>
            </w:r>
          </w:p>
        </w:tc>
        <w:tc>
          <w:tcPr>
            <w:tcW w:w="0" w:type="dxa"/>
            <w:vAlign w:val="bottom"/>
          </w:tcPr>
          <w:p>
            <w:pPr>
              <w:spacing w:after="0"/>
              <w:rPr>
                <w:sz w:val="1"/>
                <w:szCs w:val="1"/>
                <w:color w:val="auto"/>
              </w:rPr>
            </w:pPr>
          </w:p>
        </w:tc>
      </w:tr>
      <w:tr>
        <w:trPr>
          <w:trHeight w:val="34"/>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ind w:right="72"/>
              <w:spacing w:after="0"/>
              <w:rPr>
                <w:sz w:val="20"/>
                <w:szCs w:val="20"/>
                <w:color w:val="auto"/>
              </w:rPr>
            </w:pPr>
            <w:r>
              <w:rPr>
                <w:rFonts w:ascii="Arial" w:cs="Arial" w:eastAsia="Arial" w:hAnsi="Arial"/>
                <w:sz w:val="14"/>
                <w:szCs w:val="14"/>
                <w:color w:val="auto"/>
                <w:w w:val="99"/>
              </w:rPr>
              <w:t>Elimination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2"/>
              </w:rPr>
              <w:t>Non-</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ind w:right="251"/>
              <w:spacing w:after="0" w:line="149" w:lineRule="exact"/>
              <w:rPr>
                <w:sz w:val="20"/>
                <w:szCs w:val="20"/>
                <w:color w:val="auto"/>
              </w:rPr>
            </w:pPr>
            <w:r>
              <w:rPr>
                <w:rFonts w:ascii="Arial" w:cs="Arial" w:eastAsia="Arial" w:hAnsi="Arial"/>
                <w:sz w:val="14"/>
                <w:szCs w:val="14"/>
                <w:color w:val="auto"/>
              </w:rPr>
              <w:t>Comcast</w:t>
            </w:r>
          </w:p>
        </w:tc>
        <w:tc>
          <w:tcPr>
            <w:tcW w:w="280" w:type="dxa"/>
            <w:vAlign w:val="bottom"/>
          </w:tcPr>
          <w:p>
            <w:pPr>
              <w:spacing w:after="0"/>
              <w:rPr>
                <w:sz w:val="12"/>
                <w:szCs w:val="12"/>
                <w:color w:val="auto"/>
              </w:rPr>
            </w:pPr>
          </w:p>
        </w:tc>
        <w:tc>
          <w:tcPr>
            <w:tcW w:w="980" w:type="dxa"/>
            <w:vAlign w:val="bottom"/>
          </w:tcPr>
          <w:p>
            <w:pPr>
              <w:jc w:val="right"/>
              <w:ind w:right="251"/>
              <w:spacing w:after="0" w:line="149" w:lineRule="exact"/>
              <w:rPr>
                <w:sz w:val="20"/>
                <w:szCs w:val="20"/>
                <w:color w:val="auto"/>
              </w:rPr>
            </w:pPr>
            <w:r>
              <w:rPr>
                <w:rFonts w:ascii="Arial" w:cs="Arial" w:eastAsia="Arial" w:hAnsi="Arial"/>
                <w:sz w:val="14"/>
                <w:szCs w:val="14"/>
                <w:color w:val="auto"/>
              </w:rPr>
              <w:t>Comcast</w:t>
            </w:r>
          </w:p>
        </w:tc>
        <w:tc>
          <w:tcPr>
            <w:tcW w:w="320" w:type="dxa"/>
            <w:vAlign w:val="bottom"/>
          </w:tcPr>
          <w:p>
            <w:pPr>
              <w:spacing w:after="0"/>
              <w:rPr>
                <w:sz w:val="12"/>
                <w:szCs w:val="12"/>
                <w:color w:val="auto"/>
              </w:rPr>
            </w:pPr>
          </w:p>
        </w:tc>
        <w:tc>
          <w:tcPr>
            <w:tcW w:w="940" w:type="dxa"/>
            <w:vAlign w:val="bottom"/>
          </w:tcPr>
          <w:p>
            <w:pPr>
              <w:jc w:val="right"/>
              <w:ind w:right="311"/>
              <w:spacing w:after="0" w:line="149" w:lineRule="exact"/>
              <w:rPr>
                <w:sz w:val="20"/>
                <w:szCs w:val="20"/>
                <w:color w:val="auto"/>
              </w:rPr>
            </w:pPr>
            <w:r>
              <w:rPr>
                <w:rFonts w:ascii="Arial" w:cs="Arial" w:eastAsia="Arial" w:hAnsi="Arial"/>
                <w:sz w:val="14"/>
                <w:szCs w:val="14"/>
                <w:color w:val="auto"/>
              </w:rPr>
              <w:t>CCCL</w:t>
            </w:r>
          </w:p>
        </w:tc>
        <w:tc>
          <w:tcPr>
            <w:tcW w:w="200" w:type="dxa"/>
            <w:vAlign w:val="bottom"/>
          </w:tcPr>
          <w:p>
            <w:pPr>
              <w:spacing w:after="0"/>
              <w:rPr>
                <w:sz w:val="12"/>
                <w:szCs w:val="12"/>
                <w:color w:val="auto"/>
              </w:rPr>
            </w:pPr>
          </w:p>
        </w:tc>
        <w:tc>
          <w:tcPr>
            <w:tcW w:w="1060" w:type="dxa"/>
            <w:vAlign w:val="bottom"/>
          </w:tcPr>
          <w:p>
            <w:pPr>
              <w:jc w:val="right"/>
              <w:ind w:right="71"/>
              <w:spacing w:after="0" w:line="149" w:lineRule="exact"/>
              <w:rPr>
                <w:sz w:val="20"/>
                <w:szCs w:val="20"/>
                <w:color w:val="auto"/>
              </w:rPr>
            </w:pPr>
            <w:r>
              <w:rPr>
                <w:rFonts w:ascii="Arial" w:cs="Arial" w:eastAsia="Arial" w:hAnsi="Arial"/>
                <w:sz w:val="14"/>
                <w:szCs w:val="14"/>
                <w:color w:val="auto"/>
              </w:rPr>
              <w:t>NBCUniversal</w:t>
            </w:r>
          </w:p>
        </w:tc>
        <w:tc>
          <w:tcPr>
            <w:tcW w:w="22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5"/>
              </w:rPr>
              <w:t>Guarantor</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4"/>
              </w:rPr>
              <w:t>Consolidation</w:t>
            </w:r>
          </w:p>
        </w:tc>
        <w:tc>
          <w:tcPr>
            <w:tcW w:w="18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Parent</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Holdings</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w w:val="98"/>
              </w:rPr>
              <w:t>Media Parent</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color w:val="auto"/>
                <w:w w:val="94"/>
              </w:rPr>
              <w:t>Subsidiaries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color w:val="auto"/>
                <w:w w:val="93"/>
              </w:rPr>
              <w:t>Adjustments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5"/>
              </w:rPr>
              <w:t>Corporation</w:t>
            </w: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5,421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5,726</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8,847</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8,847</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Programming rights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1,219</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1,219</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2,314</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2,423</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333</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17,801</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18,215</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7,411</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7,411</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724</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6,421</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7,438</w:t>
            </w:r>
          </w:p>
        </w:tc>
      </w:tr>
      <w:tr>
        <w:trPr>
          <w:trHeight w:val="256"/>
        </w:trPr>
        <w:tc>
          <w:tcPr>
            <w:tcW w:w="2620" w:type="dxa"/>
            <w:vAlign w:val="bottom"/>
          </w:tcPr>
          <w:p>
            <w:pPr>
              <w:ind w:left="40"/>
              <w:spacing w:after="0"/>
              <w:rPr>
                <w:sz w:val="20"/>
                <w:szCs w:val="20"/>
                <w:color w:val="auto"/>
              </w:rPr>
            </w:pPr>
            <w:r>
              <w:rPr>
                <w:rFonts w:ascii="Arial" w:cs="Arial" w:eastAsia="Arial" w:hAnsi="Arial"/>
                <w:sz w:val="18"/>
                <w:szCs w:val="18"/>
                <w:color w:val="auto"/>
                <w:w w:val="98"/>
              </w:rPr>
              <w:t>Investments in and amounts due</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20" w:type="dxa"/>
            <w:vAlign w:val="bottom"/>
          </w:tcPr>
          <w:p>
            <w:pPr>
              <w:ind w:left="200"/>
              <w:spacing w:after="0"/>
              <w:rPr>
                <w:sz w:val="20"/>
                <w:szCs w:val="20"/>
                <w:color w:val="auto"/>
              </w:rPr>
            </w:pPr>
            <w:r>
              <w:rPr>
                <w:rFonts w:ascii="Arial" w:cs="Arial" w:eastAsia="Arial" w:hAnsi="Arial"/>
                <w:sz w:val="18"/>
                <w:szCs w:val="18"/>
                <w:color w:val="auto"/>
              </w:rPr>
              <w:t>from subsidiaries eliminated</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upon consolidation</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120,710</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149,838</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145,266</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52,133</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116,955</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(584,902)</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648</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38,707</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39,355</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Franchise rights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59,365</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59,365</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36,872</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36,872</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18,836</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18,848</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415</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262</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3,211</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(237)</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3,744</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122,030</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150,119</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145,376</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53,283</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305,579</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(585,139)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191,248</w:t>
            </w:r>
          </w:p>
        </w:tc>
      </w:tr>
      <w:tr>
        <w:trPr>
          <w:trHeight w:val="34"/>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2620" w:type="dxa"/>
            <w:vAlign w:val="bottom"/>
          </w:tcPr>
          <w:p>
            <w:pPr>
              <w:ind w:left="180"/>
              <w:spacing w:after="0"/>
              <w:rPr>
                <w:sz w:val="20"/>
                <w:szCs w:val="20"/>
                <w:color w:val="auto"/>
              </w:rPr>
            </w:pPr>
            <w:r>
              <w:rPr>
                <w:rFonts w:ascii="Arial" w:cs="Arial" w:eastAsia="Arial" w:hAnsi="Arial"/>
                <w:sz w:val="18"/>
                <w:szCs w:val="18"/>
                <w:color w:val="auto"/>
                <w:w w:val="98"/>
              </w:rPr>
              <w:t>Accounts payable and accrued</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20" w:type="dxa"/>
            <w:vAlign w:val="bottom"/>
          </w:tcPr>
          <w:p>
            <w:pPr>
              <w:ind w:left="340"/>
              <w:spacing w:after="0"/>
              <w:rPr>
                <w:sz w:val="20"/>
                <w:szCs w:val="20"/>
                <w:color w:val="auto"/>
              </w:rPr>
            </w:pPr>
            <w:r>
              <w:rPr>
                <w:rFonts w:ascii="Arial" w:cs="Arial" w:eastAsia="Arial" w:hAnsi="Arial"/>
                <w:sz w:val="18"/>
                <w:szCs w:val="18"/>
                <w:color w:val="auto"/>
              </w:rPr>
              <w:t>expenses related</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20" w:type="dxa"/>
            <w:vAlign w:val="bottom"/>
          </w:tcPr>
          <w:p>
            <w:pPr>
              <w:ind w:left="340"/>
              <w:spacing w:after="0"/>
              <w:rPr>
                <w:sz w:val="20"/>
                <w:szCs w:val="20"/>
                <w:color w:val="auto"/>
              </w:rPr>
            </w:pPr>
            <w:r>
              <w:rPr>
                <w:rFonts w:ascii="Arial" w:cs="Arial" w:eastAsia="Arial" w:hAnsi="Arial"/>
                <w:sz w:val="18"/>
                <w:szCs w:val="18"/>
                <w:color w:val="auto"/>
              </w:rPr>
              <w:t>to trade creditors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6,918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6,940</w:t>
            </w:r>
          </w:p>
        </w:tc>
      </w:tr>
      <w:tr>
        <w:trPr>
          <w:trHeight w:val="256"/>
        </w:trPr>
        <w:tc>
          <w:tcPr>
            <w:tcW w:w="2620" w:type="dxa"/>
            <w:vAlign w:val="bottom"/>
          </w:tcPr>
          <w:p>
            <w:pPr>
              <w:ind w:left="180"/>
              <w:spacing w:after="0"/>
              <w:rPr>
                <w:sz w:val="20"/>
                <w:szCs w:val="20"/>
                <w:color w:val="auto"/>
              </w:rPr>
            </w:pPr>
            <w:r>
              <w:rPr>
                <w:rFonts w:ascii="Arial" w:cs="Arial" w:eastAsia="Arial" w:hAnsi="Arial"/>
                <w:sz w:val="18"/>
                <w:szCs w:val="18"/>
                <w:color w:val="auto"/>
              </w:rPr>
              <w:t>Accrued participations and</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20" w:type="dxa"/>
            <w:vAlign w:val="bottom"/>
          </w:tcPr>
          <w:p>
            <w:pPr>
              <w:ind w:left="340"/>
              <w:spacing w:after="0"/>
              <w:rPr>
                <w:sz w:val="20"/>
                <w:szCs w:val="20"/>
                <w:color w:val="auto"/>
              </w:rPr>
            </w:pPr>
            <w:r>
              <w:rPr>
                <w:rFonts w:ascii="Arial" w:cs="Arial" w:eastAsia="Arial" w:hAnsi="Arial"/>
                <w:sz w:val="18"/>
                <w:szCs w:val="18"/>
                <w:color w:val="auto"/>
              </w:rPr>
              <w:t>residuals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1,731</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1,731</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1,746</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1,746</w:t>
            </w:r>
          </w:p>
        </w:tc>
      </w:tr>
      <w:tr>
        <w:trPr>
          <w:trHeight w:val="256"/>
        </w:trPr>
        <w:tc>
          <w:tcPr>
            <w:tcW w:w="2620" w:type="dxa"/>
            <w:vAlign w:val="bottom"/>
          </w:tcPr>
          <w:p>
            <w:pPr>
              <w:ind w:left="180"/>
              <w:spacing w:after="0"/>
              <w:rPr>
                <w:sz w:val="20"/>
                <w:szCs w:val="20"/>
                <w:color w:val="auto"/>
              </w:rPr>
            </w:pPr>
            <w:r>
              <w:rPr>
                <w:rFonts w:ascii="Arial" w:cs="Arial" w:eastAsia="Arial" w:hAnsi="Arial"/>
                <w:sz w:val="18"/>
                <w:szCs w:val="18"/>
                <w:color w:val="auto"/>
              </w:rPr>
              <w:t>Accrued expenses and other</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20" w:type="dxa"/>
            <w:vAlign w:val="bottom"/>
          </w:tcPr>
          <w:p>
            <w:pPr>
              <w:ind w:left="3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2,198</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264</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3,080</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5,956</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w w:val="92"/>
              </w:rPr>
              <w:t>Current portion of long-term debt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2,630</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2,634</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2,220</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268</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16,105</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19,007</w:t>
            </w:r>
          </w:p>
        </w:tc>
      </w:tr>
      <w:tr>
        <w:trPr>
          <w:trHeight w:val="256"/>
        </w:trPr>
        <w:tc>
          <w:tcPr>
            <w:tcW w:w="2620" w:type="dxa"/>
            <w:vAlign w:val="bottom"/>
          </w:tcPr>
          <w:p>
            <w:pPr>
              <w:ind w:left="40"/>
              <w:spacing w:after="0"/>
              <w:rPr>
                <w:sz w:val="20"/>
                <w:szCs w:val="20"/>
                <w:color w:val="auto"/>
              </w:rPr>
            </w:pPr>
            <w:r>
              <w:rPr>
                <w:rFonts w:ascii="Arial" w:cs="Arial" w:eastAsia="Arial" w:hAnsi="Arial"/>
                <w:sz w:val="18"/>
                <w:szCs w:val="18"/>
                <w:color w:val="auto"/>
              </w:rPr>
              <w:t>Long-term debt, less current</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portion</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46,387</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2,100</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7,748</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5,569</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61,946</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293</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25,043</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(266)</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25,140</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2,729</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1,202</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8,109</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12,069</w:t>
            </w:r>
          </w:p>
        </w:tc>
      </w:tr>
      <w:tr>
        <w:trPr>
          <w:trHeight w:val="256"/>
        </w:trPr>
        <w:tc>
          <w:tcPr>
            <w:tcW w:w="2620" w:type="dxa"/>
            <w:vAlign w:val="bottom"/>
          </w:tcPr>
          <w:p>
            <w:pPr>
              <w:ind w:left="40"/>
              <w:spacing w:after="0"/>
              <w:rPr>
                <w:sz w:val="20"/>
                <w:szCs w:val="20"/>
                <w:color w:val="auto"/>
              </w:rPr>
            </w:pPr>
            <w:r>
              <w:rPr>
                <w:rFonts w:ascii="Arial" w:cs="Arial" w:eastAsia="Arial" w:hAnsi="Arial"/>
                <w:sz w:val="18"/>
                <w:szCs w:val="18"/>
                <w:color w:val="auto"/>
              </w:rPr>
              <w:t>Redeemable noncontrolling</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20" w:type="dxa"/>
            <w:vAlign w:val="bottom"/>
          </w:tcPr>
          <w:p>
            <w:pPr>
              <w:ind w:left="200"/>
              <w:spacing w:after="0"/>
              <w:rPr>
                <w:sz w:val="20"/>
                <w:szCs w:val="20"/>
                <w:color w:val="auto"/>
              </w:rPr>
            </w:pPr>
            <w:r>
              <w:rPr>
                <w:rFonts w:ascii="Arial" w:cs="Arial" w:eastAsia="Arial" w:hAnsi="Arial"/>
                <w:sz w:val="18"/>
                <w:szCs w:val="18"/>
                <w:color w:val="auto"/>
              </w:rPr>
              <w:t>interests and redeemable</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subsidiary preferred stock</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1,343</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1,343</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Equity:</w:t>
            </w: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54</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Other shareholders’ equity</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70,640</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149,592</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142,954</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43,995</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248,361</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(584,902)</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70,640</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2"/>
        </w:trPr>
        <w:tc>
          <w:tcPr>
            <w:tcW w:w="2620" w:type="dxa"/>
            <w:vAlign w:val="bottom"/>
          </w:tcPr>
          <w:p>
            <w:pPr>
              <w:ind w:left="40"/>
              <w:spacing w:after="0"/>
              <w:rPr>
                <w:sz w:val="20"/>
                <w:szCs w:val="20"/>
                <w:color w:val="auto"/>
              </w:rPr>
            </w:pPr>
            <w:r>
              <w:rPr>
                <w:rFonts w:ascii="Arial" w:cs="Arial" w:eastAsia="Arial" w:hAnsi="Arial"/>
                <w:sz w:val="18"/>
                <w:szCs w:val="18"/>
                <w:color w:val="auto"/>
              </w:rPr>
              <w:t>Total Comcast Corporation</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70,694</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149,592</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142,954</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43,995</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248,361</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(584,902)</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70,694</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1,049</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1,049</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70,694</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149,592</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142,954</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43,995</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249,410</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(584,902)</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71,743</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122,030</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150,119</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145,376</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53,283</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305,579</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(585,139)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191,248</w:t>
            </w:r>
          </w:p>
        </w:tc>
      </w:tr>
      <w:tr>
        <w:trPr>
          <w:trHeight w:val="34"/>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1"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ind w:right="72"/>
              <w:spacing w:after="0"/>
              <w:rPr>
                <w:sz w:val="20"/>
                <w:szCs w:val="20"/>
                <w:color w:val="auto"/>
              </w:rPr>
            </w:pPr>
            <w:r>
              <w:rPr>
                <w:rFonts w:ascii="Arial" w:cs="Arial" w:eastAsia="Arial" w:hAnsi="Arial"/>
                <w:sz w:val="14"/>
                <w:szCs w:val="14"/>
                <w:color w:val="auto"/>
                <w:w w:val="99"/>
              </w:rPr>
              <w:t>Elimination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2"/>
              </w:rPr>
              <w:t>Non-</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ind w:right="251"/>
              <w:spacing w:after="0" w:line="149" w:lineRule="exact"/>
              <w:rPr>
                <w:sz w:val="20"/>
                <w:szCs w:val="20"/>
                <w:color w:val="auto"/>
              </w:rPr>
            </w:pPr>
            <w:r>
              <w:rPr>
                <w:rFonts w:ascii="Arial" w:cs="Arial" w:eastAsia="Arial" w:hAnsi="Arial"/>
                <w:sz w:val="14"/>
                <w:szCs w:val="14"/>
                <w:color w:val="auto"/>
              </w:rPr>
              <w:t>Comcast</w:t>
            </w:r>
          </w:p>
        </w:tc>
        <w:tc>
          <w:tcPr>
            <w:tcW w:w="280" w:type="dxa"/>
            <w:vAlign w:val="bottom"/>
          </w:tcPr>
          <w:p>
            <w:pPr>
              <w:spacing w:after="0"/>
              <w:rPr>
                <w:sz w:val="12"/>
                <w:szCs w:val="12"/>
                <w:color w:val="auto"/>
              </w:rPr>
            </w:pPr>
          </w:p>
        </w:tc>
        <w:tc>
          <w:tcPr>
            <w:tcW w:w="980" w:type="dxa"/>
            <w:vAlign w:val="bottom"/>
          </w:tcPr>
          <w:p>
            <w:pPr>
              <w:jc w:val="right"/>
              <w:ind w:right="251"/>
              <w:spacing w:after="0" w:line="149" w:lineRule="exact"/>
              <w:rPr>
                <w:sz w:val="20"/>
                <w:szCs w:val="20"/>
                <w:color w:val="auto"/>
              </w:rPr>
            </w:pPr>
            <w:r>
              <w:rPr>
                <w:rFonts w:ascii="Arial" w:cs="Arial" w:eastAsia="Arial" w:hAnsi="Arial"/>
                <w:sz w:val="14"/>
                <w:szCs w:val="14"/>
                <w:color w:val="auto"/>
              </w:rPr>
              <w:t>Comcast</w:t>
            </w:r>
          </w:p>
        </w:tc>
        <w:tc>
          <w:tcPr>
            <w:tcW w:w="320" w:type="dxa"/>
            <w:vAlign w:val="bottom"/>
          </w:tcPr>
          <w:p>
            <w:pPr>
              <w:spacing w:after="0"/>
              <w:rPr>
                <w:sz w:val="12"/>
                <w:szCs w:val="12"/>
                <w:color w:val="auto"/>
              </w:rPr>
            </w:pPr>
          </w:p>
        </w:tc>
        <w:tc>
          <w:tcPr>
            <w:tcW w:w="940" w:type="dxa"/>
            <w:vAlign w:val="bottom"/>
          </w:tcPr>
          <w:p>
            <w:pPr>
              <w:jc w:val="right"/>
              <w:ind w:right="311"/>
              <w:spacing w:after="0" w:line="149" w:lineRule="exact"/>
              <w:rPr>
                <w:sz w:val="20"/>
                <w:szCs w:val="20"/>
                <w:color w:val="auto"/>
              </w:rPr>
            </w:pPr>
            <w:r>
              <w:rPr>
                <w:rFonts w:ascii="Arial" w:cs="Arial" w:eastAsia="Arial" w:hAnsi="Arial"/>
                <w:sz w:val="14"/>
                <w:szCs w:val="14"/>
                <w:color w:val="auto"/>
              </w:rPr>
              <w:t>CCCL</w:t>
            </w:r>
          </w:p>
        </w:tc>
        <w:tc>
          <w:tcPr>
            <w:tcW w:w="200" w:type="dxa"/>
            <w:vAlign w:val="bottom"/>
          </w:tcPr>
          <w:p>
            <w:pPr>
              <w:spacing w:after="0"/>
              <w:rPr>
                <w:sz w:val="12"/>
                <w:szCs w:val="12"/>
                <w:color w:val="auto"/>
              </w:rPr>
            </w:pPr>
          </w:p>
        </w:tc>
        <w:tc>
          <w:tcPr>
            <w:tcW w:w="1060" w:type="dxa"/>
            <w:vAlign w:val="bottom"/>
          </w:tcPr>
          <w:p>
            <w:pPr>
              <w:jc w:val="right"/>
              <w:ind w:right="71"/>
              <w:spacing w:after="0" w:line="149" w:lineRule="exact"/>
              <w:rPr>
                <w:sz w:val="20"/>
                <w:szCs w:val="20"/>
                <w:color w:val="auto"/>
              </w:rPr>
            </w:pPr>
            <w:r>
              <w:rPr>
                <w:rFonts w:ascii="Arial" w:cs="Arial" w:eastAsia="Arial" w:hAnsi="Arial"/>
                <w:sz w:val="14"/>
                <w:szCs w:val="14"/>
                <w:color w:val="auto"/>
              </w:rPr>
              <w:t>NBCUniversal</w:t>
            </w:r>
          </w:p>
        </w:tc>
        <w:tc>
          <w:tcPr>
            <w:tcW w:w="22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5"/>
              </w:rPr>
              <w:t>Guarantor</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4"/>
              </w:rPr>
              <w:t>Consolidation</w:t>
            </w:r>
          </w:p>
        </w:tc>
        <w:tc>
          <w:tcPr>
            <w:tcW w:w="18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Parent</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Holdings</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w w:val="98"/>
              </w:rPr>
              <w:t>Media Parent</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color w:val="auto"/>
                <w:w w:val="94"/>
              </w:rPr>
              <w:t>Subsidiaries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color w:val="auto"/>
                <w:w w:val="93"/>
              </w:rPr>
              <w:t>Adjustments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5"/>
              </w:rPr>
              <w:t>Corporation</w:t>
            </w: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496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2,932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3,428</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8,834</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8,834</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Programming rights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1,613</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1,613</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2,376</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2,468</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521</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15,755</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16,343</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7,087</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7,087</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693</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5,963</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6,931</w:t>
            </w:r>
          </w:p>
        </w:tc>
      </w:tr>
      <w:tr>
        <w:trPr>
          <w:trHeight w:val="256"/>
        </w:trPr>
        <w:tc>
          <w:tcPr>
            <w:tcW w:w="2620" w:type="dxa"/>
            <w:vAlign w:val="bottom"/>
          </w:tcPr>
          <w:p>
            <w:pPr>
              <w:ind w:left="40"/>
              <w:spacing w:after="0"/>
              <w:rPr>
                <w:sz w:val="20"/>
                <w:szCs w:val="20"/>
                <w:color w:val="auto"/>
              </w:rPr>
            </w:pPr>
            <w:r>
              <w:rPr>
                <w:rFonts w:ascii="Arial" w:cs="Arial" w:eastAsia="Arial" w:hAnsi="Arial"/>
                <w:sz w:val="18"/>
                <w:szCs w:val="18"/>
                <w:color w:val="auto"/>
                <w:w w:val="98"/>
              </w:rPr>
              <w:t>Investments in and amounts due</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20" w:type="dxa"/>
            <w:vAlign w:val="bottom"/>
          </w:tcPr>
          <w:p>
            <w:pPr>
              <w:ind w:left="200"/>
              <w:spacing w:after="0"/>
              <w:rPr>
                <w:sz w:val="20"/>
                <w:szCs w:val="20"/>
                <w:color w:val="auto"/>
              </w:rPr>
            </w:pPr>
            <w:r>
              <w:rPr>
                <w:rFonts w:ascii="Arial" w:cs="Arial" w:eastAsia="Arial" w:hAnsi="Arial"/>
                <w:sz w:val="18"/>
                <w:szCs w:val="18"/>
                <w:color w:val="auto"/>
              </w:rPr>
              <w:t>from subsidiaries eliminated</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upon consolidation</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117,164</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142,519</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139,528</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50,102</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113,332</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(562,645)</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551</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37,919</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38,470</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Franchise rights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59,364</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59,364</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36,780</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36,780</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18,121</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18,133</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435</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708</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3,437</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(314)</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4,354</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118,368</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143,248</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139,643</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51,404</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297,758</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(562,959)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187,462</w:t>
            </w:r>
          </w:p>
        </w:tc>
      </w:tr>
      <w:tr>
        <w:trPr>
          <w:trHeight w:val="34"/>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2620" w:type="dxa"/>
            <w:vAlign w:val="bottom"/>
          </w:tcPr>
          <w:p>
            <w:pPr>
              <w:ind w:left="180"/>
              <w:spacing w:after="0"/>
              <w:rPr>
                <w:sz w:val="20"/>
                <w:szCs w:val="20"/>
                <w:color w:val="auto"/>
              </w:rPr>
            </w:pPr>
            <w:r>
              <w:rPr>
                <w:rFonts w:ascii="Arial" w:cs="Arial" w:eastAsia="Arial" w:hAnsi="Arial"/>
                <w:sz w:val="18"/>
                <w:szCs w:val="18"/>
                <w:color w:val="auto"/>
                <w:w w:val="98"/>
              </w:rPr>
              <w:t>Accounts payable and accrued</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20" w:type="dxa"/>
            <w:vAlign w:val="bottom"/>
          </w:tcPr>
          <w:p>
            <w:pPr>
              <w:ind w:left="340"/>
              <w:spacing w:after="0"/>
              <w:rPr>
                <w:sz w:val="20"/>
                <w:szCs w:val="20"/>
                <w:color w:val="auto"/>
              </w:rPr>
            </w:pPr>
            <w:r>
              <w:rPr>
                <w:rFonts w:ascii="Arial" w:cs="Arial" w:eastAsia="Arial" w:hAnsi="Arial"/>
                <w:sz w:val="18"/>
                <w:szCs w:val="18"/>
                <w:color w:val="auto"/>
              </w:rPr>
              <w:t>expenses related</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20" w:type="dxa"/>
            <w:vAlign w:val="bottom"/>
          </w:tcPr>
          <w:p>
            <w:pPr>
              <w:ind w:left="340"/>
              <w:spacing w:after="0"/>
              <w:rPr>
                <w:sz w:val="20"/>
                <w:szCs w:val="20"/>
                <w:color w:val="auto"/>
              </w:rPr>
            </w:pPr>
            <w:r>
              <w:rPr>
                <w:rFonts w:ascii="Arial" w:cs="Arial" w:eastAsia="Arial" w:hAnsi="Arial"/>
                <w:sz w:val="18"/>
                <w:szCs w:val="18"/>
                <w:color w:val="auto"/>
              </w:rPr>
              <w:t>to trade creditors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6,892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6,908</w:t>
            </w:r>
          </w:p>
        </w:tc>
      </w:tr>
      <w:tr>
        <w:trPr>
          <w:trHeight w:val="256"/>
        </w:trPr>
        <w:tc>
          <w:tcPr>
            <w:tcW w:w="2620" w:type="dxa"/>
            <w:vAlign w:val="bottom"/>
          </w:tcPr>
          <w:p>
            <w:pPr>
              <w:ind w:left="180"/>
              <w:spacing w:after="0"/>
              <w:rPr>
                <w:sz w:val="20"/>
                <w:szCs w:val="20"/>
                <w:color w:val="auto"/>
              </w:rPr>
            </w:pPr>
            <w:r>
              <w:rPr>
                <w:rFonts w:ascii="Arial" w:cs="Arial" w:eastAsia="Arial" w:hAnsi="Arial"/>
                <w:sz w:val="18"/>
                <w:szCs w:val="18"/>
                <w:color w:val="auto"/>
              </w:rPr>
              <w:t>Accrued participations and</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20" w:type="dxa"/>
            <w:vAlign w:val="bottom"/>
          </w:tcPr>
          <w:p>
            <w:pPr>
              <w:ind w:left="340"/>
              <w:spacing w:after="0"/>
              <w:rPr>
                <w:sz w:val="20"/>
                <w:szCs w:val="20"/>
                <w:color w:val="auto"/>
              </w:rPr>
            </w:pPr>
            <w:r>
              <w:rPr>
                <w:rFonts w:ascii="Arial" w:cs="Arial" w:eastAsia="Arial" w:hAnsi="Arial"/>
                <w:sz w:val="18"/>
                <w:szCs w:val="18"/>
                <w:color w:val="auto"/>
              </w:rPr>
              <w:t>residuals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1,644</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1,644</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1,687</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1,687</w:t>
            </w:r>
          </w:p>
        </w:tc>
      </w:tr>
      <w:tr>
        <w:trPr>
          <w:trHeight w:val="256"/>
        </w:trPr>
        <w:tc>
          <w:tcPr>
            <w:tcW w:w="2620" w:type="dxa"/>
            <w:vAlign w:val="bottom"/>
          </w:tcPr>
          <w:p>
            <w:pPr>
              <w:ind w:left="180"/>
              <w:spacing w:after="0"/>
              <w:rPr>
                <w:sz w:val="20"/>
                <w:szCs w:val="20"/>
                <w:color w:val="auto"/>
              </w:rPr>
            </w:pPr>
            <w:r>
              <w:rPr>
                <w:rFonts w:ascii="Arial" w:cs="Arial" w:eastAsia="Arial" w:hAnsi="Arial"/>
                <w:sz w:val="18"/>
                <w:szCs w:val="18"/>
                <w:color w:val="auto"/>
              </w:rPr>
              <w:t>Accrued expenses and other</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20" w:type="dxa"/>
            <w:vAlign w:val="bottom"/>
          </w:tcPr>
          <w:p>
            <w:pPr>
              <w:ind w:left="3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1,888</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326</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3,981</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6,620</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w w:val="92"/>
              </w:rPr>
              <w:t>Current portion of long-term debt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2,810</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2,320</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5,134</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4,714</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330</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16,524</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21,993</w:t>
            </w:r>
          </w:p>
        </w:tc>
      </w:tr>
      <w:tr>
        <w:trPr>
          <w:trHeight w:val="256"/>
        </w:trPr>
        <w:tc>
          <w:tcPr>
            <w:tcW w:w="2620" w:type="dxa"/>
            <w:vAlign w:val="bottom"/>
          </w:tcPr>
          <w:p>
            <w:pPr>
              <w:ind w:left="40"/>
              <w:spacing w:after="0"/>
              <w:rPr>
                <w:sz w:val="20"/>
                <w:szCs w:val="20"/>
                <w:color w:val="auto"/>
              </w:rPr>
            </w:pPr>
            <w:r>
              <w:rPr>
                <w:rFonts w:ascii="Arial" w:cs="Arial" w:eastAsia="Arial" w:hAnsi="Arial"/>
                <w:sz w:val="18"/>
                <w:szCs w:val="18"/>
                <w:color w:val="auto"/>
              </w:rPr>
              <w:t>Long-term debt, less current</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portion</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42,428</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2,100</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7,751</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7,003</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59,422</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285</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24,250</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(343)</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24,259</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2,610</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1,128</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7,205</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10,972</w:t>
            </w:r>
          </w:p>
        </w:tc>
      </w:tr>
      <w:tr>
        <w:trPr>
          <w:trHeight w:val="256"/>
        </w:trPr>
        <w:tc>
          <w:tcPr>
            <w:tcW w:w="2620" w:type="dxa"/>
            <w:vAlign w:val="bottom"/>
          </w:tcPr>
          <w:p>
            <w:pPr>
              <w:ind w:left="40"/>
              <w:spacing w:after="0"/>
              <w:rPr>
                <w:sz w:val="20"/>
                <w:szCs w:val="20"/>
                <w:color w:val="auto"/>
              </w:rPr>
            </w:pPr>
            <w:r>
              <w:rPr>
                <w:rFonts w:ascii="Arial" w:cs="Arial" w:eastAsia="Arial" w:hAnsi="Arial"/>
                <w:sz w:val="18"/>
                <w:szCs w:val="18"/>
                <w:color w:val="auto"/>
              </w:rPr>
              <w:t>Redeemable noncontrolling</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20" w:type="dxa"/>
            <w:vAlign w:val="bottom"/>
          </w:tcPr>
          <w:p>
            <w:pPr>
              <w:ind w:left="200"/>
              <w:spacing w:after="0"/>
              <w:rPr>
                <w:sz w:val="20"/>
                <w:szCs w:val="20"/>
                <w:color w:val="auto"/>
              </w:rPr>
            </w:pPr>
            <w:r>
              <w:rPr>
                <w:rFonts w:ascii="Arial" w:cs="Arial" w:eastAsia="Arial" w:hAnsi="Arial"/>
                <w:sz w:val="18"/>
                <w:szCs w:val="18"/>
                <w:color w:val="auto"/>
              </w:rPr>
              <w:t>interests and redeemable</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subsidiary preferred stock</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1,357</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1,357</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Equity:</w:t>
            </w: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55</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Other shareholders’ equity</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68,561</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142,731</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137,210</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42,128</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240,576</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(562,645)</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68,561</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2"/>
        </w:trPr>
        <w:tc>
          <w:tcPr>
            <w:tcW w:w="2620" w:type="dxa"/>
            <w:vAlign w:val="bottom"/>
          </w:tcPr>
          <w:p>
            <w:pPr>
              <w:ind w:left="40"/>
              <w:spacing w:after="0"/>
              <w:rPr>
                <w:sz w:val="20"/>
                <w:szCs w:val="20"/>
                <w:color w:val="auto"/>
              </w:rPr>
            </w:pPr>
            <w:r>
              <w:rPr>
                <w:rFonts w:ascii="Arial" w:cs="Arial" w:eastAsia="Arial" w:hAnsi="Arial"/>
                <w:sz w:val="18"/>
                <w:szCs w:val="18"/>
                <w:color w:val="auto"/>
              </w:rPr>
              <w:t>Total Comcast Corporation</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68,616</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142,731</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137,210</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42,128</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240,576</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(562,645)</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68,616</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843</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843</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68,616</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142,731</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137,210</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42,128</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241,419</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(562,645)</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69,459</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118,368</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143,248</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139,643</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51,404</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297,758</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(562,959)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187,462</w:t>
            </w:r>
          </w:p>
        </w:tc>
      </w:tr>
      <w:tr>
        <w:trPr>
          <w:trHeight w:val="34"/>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1"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940"/>
        <w:spacing w:after="0" w:line="274"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a global media and technology company with two primary businesses, Comcast Cable and NBCUniversal. We present our operations for Comcast Cable in one reportable business segment, referred to as Cable Communications, and our operations for NBCUniversal in four reportable business segments: Cable Networks, Broadcast Television, Filmed Entertainment and Theme Parks (collectively, the “NBCUniversal segments”).</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adopted the updated guidance related to revenue recognition on January 1, 2018 on a full retrospective basis, which required us to reflect the impact of the updated guidance for all periods presented (see Note 7 to Comcast’s condensed consolidated financial statements and Note 6 to NBCUniversal’s condensed consolidated financial statements).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Comcast Cable is one of the nation’s largest providers of video, high-speed Internet, voice, and security and automation services (“cable services”) to residential customers under the XFINITY brand; we also provide these and other services to business customers and sell advertising. As of June 30, 2018, our cable systems had 29.8 million total customer relationships, including 27.6 million residential and 2.2 million business customer relationships, and passed more than 57 million homes and businesses. Our Cable Communications segment generates revenue primarily from residential and business customers that subscribe to our cable services, which we market individually and as bundled services, and from the sale of advertising. During the six months ended June 30, 2018, our Cable Communications segment generated 61% of our consolidated revenue and 75% of our consolidated Adjusted EBITDA.</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Segments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NBCUniversal is one of the world’s leading media and entertainment companies that develops, produces and distributes entertainment, news and information, sports, and other content for global audiences, and owns and operates theme parks worldwide</w:t>
      </w:r>
      <w:r>
        <w:rPr>
          <w:rFonts w:ascii="Arial" w:cs="Arial" w:eastAsia="Arial" w:hAnsi="Arial"/>
          <w:sz w:val="18"/>
          <w:szCs w:val="18"/>
          <w:i w:val="1"/>
          <w:iCs w:val="1"/>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Networks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Cable Networks segment consists primarily of a diversified portfolio of cable television networks. Our cable networks are comprised of our national cable networks that provide a variety of entertainment, news and information, and sports content; our regional sports and news networks; our international cable networks; our cable television studio production operations; and our various digital properties. Our Cable Networks segment generates revenue primarily from the distribution of our cable network programming to traditional and virtual multichannel video providers; from the sale of advertising on our cable networks and digital properties; from the licensing of our owned programming, including programming from our cable television studio production operations, to cable and broadcast networks and subscription video on demand services; and from the sale of our owned programming on standard-definition digital video discs and Blu-ray discs (together, “DVDs”) and through digital distribution services such as iTunes.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Broadcast Television</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Broadcast Television segment consists primarily of the NBC and Telemundo broadcast networks, our NBC and Telemundo owned local broadcast television stations, the NBC Universo national cable network, our broadcast television studio production operations, and our various digital properties. Our Broadcast Television segment generates revenue primarily from the sale of advertising on our broadcast networks, owned local broadcast television stations and digital properties; from the licensing of our owned programming by our broadcast television studio production operations to various distribution platforms, including to cable and broadcast networks as well as to subscription video on demand services; from the fees received under retransmission consent agreements and associated fees received from NBC-affiliated local broadcast television stations; and from the sale of our owned programming on DVDs and through digital distribution services.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Filmed Entertainment</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Filmed Entertainment segment primarily produces, acquires, markets and distributes filmed entertainment worldwide. Our films are produced primarily under the Universal Pictures, Illumination, DreamWorks Animation and Focus Features names. Our Filmed Entertainment segment generates revenue primarily from the worldwide distribution of our produced and acquired films for exhibition in movie theaters, from the licensing of produced and acquired films through various distribution platforms, and from the sale of produced and acquired films on DVDs and through digital distribution services. Our Filmed Entertainment segment also generates revenue from Fandango, our movie ticketing and entertainment business, the sale of consumer products, the production and licensing of live stage plays, and the distribution of filmed entertainment produced by third parties.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75"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Theme Parks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Theme Parks segment consists primarily of our Universal theme parks in Orlando, Florida; Hollywood, California; and Osaka, Japan. In addition, along with a consortium of Chinese state-owned companies, we are developing a theme park in Beijing, China. Our Theme Parks segment generates revenue primarily from ticket sales and guest spending at our Universal theme parks.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pursuing business development initiatives, such as our wireless phone service that we launched in the second quarter of 2017 using our virtual network operator rights to provide the service over Verizon’s wireless network and our existing network of in-home and outdoor Wi-Fi hotspots. We offer the wireless phone service only as part of our bundled service offerings to residential customers that subscribe to our high-speed Internet service within our cable distribution footprint and may in the future also offer wireless phone service to our small business customers on similar terms. The wireless phone service has success-based working capital requirements, primarily associated with the procurement of handsets, which customers are able to pay for upfront or finance interest-free over 24 months, and other equipment.</w:t>
      </w:r>
    </w:p>
    <w:p>
      <w:pPr>
        <w:spacing w:after="0" w:line="1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other business interests consist of the operations of Comcast Spectacor, which owns the Philadelphia Flyers and the Wells Fargo Center arena in Philadelphia, Pennsylvania.</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results of operations of our reportable business segments are affected by competition, as all of our businesses operate in intensely competitive, consumer-driven and rapidly changing environments and compete with a growing number of companies that provide a broad range of communications products and services and entertainment, news and information content to consumers. Technological changes are further intensifying and complicating the competitive landscape and challenging existing business models. In particular, consumers are increasingly turning to online sources for viewing and purchasing content, which has and likely will continue to reduce the number of our video customers and subscribers to our cable networks even as it makes our high-speed Internet services more valuable to consumers. In addition, the increasing number of entertainment choices available has intensified audience fragmentation, which has and likely will continue to adversely affect the audience ratings of our cable networks and broadcast television programming.</w:t>
      </w:r>
    </w:p>
    <w:p>
      <w:pPr>
        <w:spacing w:after="0" w:line="5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additional information on the competition our businesses face, see our 2017 Annual Report on Form 10-K and refer to Item 1: Business and Item 1A: Risk Factors. Within the Business section, refer to the “Competition” discussion, and within the Risk Factors section, refer to the risk factors entitled “Our businesses currently face a wide range of competition, and our businesses and results of operations could be adversely affected if we do not compete effectively” and “Changes in consumer behavior driven by online distribution platforms for viewing content could adversely affect our businesses and challenge existing business models.”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Cyclicality</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of our businesses is subject to seasonal and cyclical variations. In our Cable Communications segment, our results are impacted by the seasonal nature of residential customers receiving our cable services in college and vacation markets. This generally results in fewer net customer relationship additions in the second quarter of each year.</w:t>
      </w:r>
    </w:p>
    <w:p>
      <w:pPr>
        <w:spacing w:after="0" w:line="1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Revenue in our Cable Communications, Cable Networks and Broadcast Television segments is subject to cyclical advertising patterns and changes in viewership levels. Advertising revenue in the U.S. is generally higher in the second and fourth quarters of each year, due in part to increases in consumer advertising in the spring and in the period leading up to and including the holiday season. Advertising revenue in the U.S. is also cyclical, with a benefit in even-numbered years due to advertising related to candidates running for political office and issue-oriented advertising. Revenue in our Cable Networks and Broadcast Television segments fluctuates depending on the timing of when our programming is aired, which typically results in higher advertising revenue in the second and fourth quarters of each year. Our revenue and operating costs and expenses (comprised of total costs and expenses, excluding depreciation and amortization expense and other operating gains) are cyclical as a result of our periodic broadcasts of major sporting events, such as the Olympic Games, which affect our Cable Networks and Broadcast Television segments, and the Super Bowl, which affects our Broadcast Television segment. In particular, our advertising revenue increases due to increased demand for advertising time and our distribution revenue increases in the period of these broadcasts. Our operating costs and expenses also increase as a result of our production costs for these broadcasts and the amortization of the related rights fees.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in our Filmed Entertainment segment fluctuates due to the timing, nature and number of films released in movie theaters, on DVDs, and through various other distribution platforms. Release dates are determined by several factors, including competition and the timing of vacation and holiday periods. As a result, revenue tends to be seasonal, with increases experienced each year during the summer months and around the holiday season. Content licensing revenue in our Cable Networks, Broadcast Television and Filmed Entertainment segments also fluctuates due to the timing of when our content is made available to licensees.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75"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in our Theme Parks segment fluctuates with changes in theme park attendance that result from the seasonal nature of vacation travel and weather variations, local entertainment offerings and the opening of new attractions as well as with changes in currency exchange rates. Our theme parks generally experience peak attendance during the spring holiday period, the summer months when schools are closed and the holiday season.</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Operating Results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3"/>
          </w:tcPr>
          <w:p>
            <w:pPr>
              <w:jc w:val="right"/>
              <w:ind w:right="771"/>
              <w:spacing w:after="0"/>
              <w:rPr>
                <w:sz w:val="20"/>
                <w:szCs w:val="20"/>
                <w:color w:val="auto"/>
              </w:rPr>
            </w:pPr>
            <w:r>
              <w:rPr>
                <w:rFonts w:ascii="Arial" w:cs="Arial" w:eastAsia="Arial" w:hAnsi="Arial"/>
                <w:sz w:val="14"/>
                <w:szCs w:val="14"/>
                <w:color w:val="auto"/>
              </w:rPr>
              <w:t>Three Months Ended</w:t>
            </w:r>
          </w:p>
        </w:tc>
        <w:tc>
          <w:tcPr>
            <w:tcW w:w="1320" w:type="dxa"/>
            <w:vAlign w:val="bottom"/>
          </w:tcPr>
          <w:p>
            <w:pPr>
              <w:jc w:val="right"/>
              <w:ind w:right="392"/>
              <w:spacing w:after="0"/>
              <w:rPr>
                <w:sz w:val="20"/>
                <w:szCs w:val="20"/>
                <w:color w:val="auto"/>
              </w:rPr>
            </w:pPr>
            <w:r>
              <w:rPr>
                <w:rFonts w:ascii="Arial" w:cs="Arial" w:eastAsia="Arial" w:hAnsi="Arial"/>
                <w:sz w:val="14"/>
                <w:szCs w:val="14"/>
                <w:color w:val="auto"/>
              </w:rPr>
              <w:t>Increase/</w:t>
            </w:r>
          </w:p>
        </w:tc>
        <w:tc>
          <w:tcPr>
            <w:tcW w:w="340" w:type="dxa"/>
            <w:vAlign w:val="bottom"/>
          </w:tcPr>
          <w:p>
            <w:pPr>
              <w:spacing w:after="0"/>
              <w:rPr>
                <w:sz w:val="14"/>
                <w:szCs w:val="14"/>
                <w:color w:val="auto"/>
              </w:rPr>
            </w:pPr>
          </w:p>
        </w:tc>
        <w:tc>
          <w:tcPr>
            <w:tcW w:w="2500" w:type="dxa"/>
            <w:vAlign w:val="bottom"/>
            <w:gridSpan w:val="3"/>
          </w:tcPr>
          <w:p>
            <w:pPr>
              <w:jc w:val="right"/>
              <w:ind w:right="871"/>
              <w:spacing w:after="0"/>
              <w:rPr>
                <w:sz w:val="20"/>
                <w:szCs w:val="20"/>
                <w:color w:val="auto"/>
              </w:rPr>
            </w:pPr>
            <w:r>
              <w:rPr>
                <w:rFonts w:ascii="Arial" w:cs="Arial" w:eastAsia="Arial" w:hAnsi="Arial"/>
                <w:sz w:val="14"/>
                <w:szCs w:val="14"/>
                <w:color w:val="auto"/>
              </w:rPr>
              <w:t>Six Months Ended</w:t>
            </w:r>
          </w:p>
        </w:tc>
        <w:tc>
          <w:tcPr>
            <w:tcW w:w="1260" w:type="dxa"/>
            <w:vAlign w:val="bottom"/>
          </w:tcPr>
          <w:p>
            <w:pPr>
              <w:jc w:val="right"/>
              <w:ind w:right="332"/>
              <w:spacing w:after="0"/>
              <w:rPr>
                <w:sz w:val="20"/>
                <w:szCs w:val="20"/>
                <w:color w:val="auto"/>
              </w:rPr>
            </w:pPr>
            <w:r>
              <w:rPr>
                <w:rFonts w:ascii="Arial" w:cs="Arial" w:eastAsia="Arial" w:hAnsi="Arial"/>
                <w:sz w:val="14"/>
                <w:szCs w:val="14"/>
                <w:color w:val="auto"/>
              </w:rPr>
              <w:t>Increase/</w:t>
            </w:r>
          </w:p>
        </w:tc>
      </w:tr>
      <w:tr>
        <w:trPr>
          <w:trHeight w:val="188"/>
        </w:trPr>
        <w:tc>
          <w:tcPr>
            <w:tcW w:w="3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June 30</w:t>
            </w:r>
          </w:p>
        </w:tc>
        <w:tc>
          <w:tcPr>
            <w:tcW w:w="1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(Decrease)</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June 30</w:t>
            </w:r>
          </w:p>
        </w:tc>
        <w:tc>
          <w:tcPr>
            <w:tcW w:w="1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(Decrease)</w:t>
            </w:r>
          </w:p>
        </w:tc>
      </w:tr>
      <w:tr>
        <w:trPr>
          <w:trHeight w:val="264"/>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rPr>
              <w:t>2018</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color w:val="auto"/>
              </w:rPr>
              <w:t>2017</w:t>
            </w:r>
          </w:p>
        </w:tc>
        <w:tc>
          <w:tcPr>
            <w:tcW w:w="13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color w:val="auto"/>
              </w:rPr>
              <w:t>2018</w:t>
            </w: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color w:val="auto"/>
              </w:rPr>
              <w:t>2017</w:t>
            </w:r>
          </w:p>
        </w:tc>
        <w:tc>
          <w:tcPr>
            <w:tcW w:w="1260" w:type="dxa"/>
            <w:vAlign w:val="bottom"/>
            <w:tcBorders>
              <w:bottom w:val="single" w:sz="8" w:color="auto"/>
            </w:tcBorders>
          </w:tcPr>
          <w:p>
            <w:pPr>
              <w:spacing w:after="0"/>
              <w:rPr>
                <w:sz w:val="22"/>
                <w:szCs w:val="22"/>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21,735</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21,286</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2.1 %</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44,526</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41,873</w:t>
            </w:r>
          </w:p>
        </w:tc>
        <w:tc>
          <w:tcPr>
            <w:tcW w:w="1260" w:type="dxa"/>
            <w:vAlign w:val="bottom"/>
          </w:tcPr>
          <w:p>
            <w:pPr>
              <w:jc w:val="right"/>
              <w:spacing w:after="0"/>
              <w:rPr>
                <w:sz w:val="20"/>
                <w:szCs w:val="20"/>
                <w:color w:val="auto"/>
              </w:rPr>
            </w:pPr>
            <w:r>
              <w:rPr>
                <w:rFonts w:ascii="Arial" w:cs="Arial" w:eastAsia="Arial" w:hAnsi="Arial"/>
                <w:sz w:val="18"/>
                <w:szCs w:val="18"/>
                <w:color w:val="auto"/>
              </w:rPr>
              <w:t>6.3 %</w:t>
            </w:r>
          </w:p>
        </w:tc>
      </w:tr>
      <w:tr>
        <w:trPr>
          <w:trHeight w:val="270"/>
        </w:trPr>
        <w:tc>
          <w:tcPr>
            <w:tcW w:w="320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320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280" w:type="dxa"/>
            <w:vAlign w:val="bottom"/>
          </w:tcPr>
          <w:p>
            <w:pPr>
              <w:spacing w:after="0"/>
              <w:rPr>
                <w:sz w:val="23"/>
                <w:szCs w:val="23"/>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6,300</w:t>
            </w:r>
          </w:p>
        </w:tc>
        <w:tc>
          <w:tcPr>
            <w:tcW w:w="380" w:type="dxa"/>
            <w:vAlign w:val="bottom"/>
          </w:tcPr>
          <w:p>
            <w:pPr>
              <w:spacing w:after="0"/>
              <w:rPr>
                <w:sz w:val="23"/>
                <w:szCs w:val="23"/>
                <w:color w:val="auto"/>
              </w:rPr>
            </w:pP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6,330</w:t>
            </w:r>
          </w:p>
        </w:tc>
        <w:tc>
          <w:tcPr>
            <w:tcW w:w="1320" w:type="dxa"/>
            <w:vAlign w:val="bottom"/>
          </w:tcPr>
          <w:p>
            <w:pPr>
              <w:jc w:val="right"/>
              <w:ind w:right="172"/>
              <w:spacing w:after="0"/>
              <w:rPr>
                <w:sz w:val="20"/>
                <w:szCs w:val="20"/>
                <w:color w:val="auto"/>
              </w:rPr>
            </w:pPr>
            <w:r>
              <w:rPr>
                <w:rFonts w:ascii="Arial" w:cs="Arial" w:eastAsia="Arial" w:hAnsi="Arial"/>
                <w:sz w:val="18"/>
                <w:szCs w:val="18"/>
                <w:color w:val="auto"/>
              </w:rPr>
              <w:t>(0.5)</w:t>
            </w:r>
          </w:p>
        </w:tc>
        <w:tc>
          <w:tcPr>
            <w:tcW w:w="340" w:type="dxa"/>
            <w:vAlign w:val="bottom"/>
          </w:tcPr>
          <w:p>
            <w:pPr>
              <w:spacing w:after="0"/>
              <w:rPr>
                <w:sz w:val="23"/>
                <w:szCs w:val="23"/>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13,729</w:t>
            </w:r>
          </w:p>
        </w:tc>
        <w:tc>
          <w:tcPr>
            <w:tcW w:w="400" w:type="dxa"/>
            <w:vAlign w:val="bottom"/>
          </w:tcPr>
          <w:p>
            <w:pPr>
              <w:spacing w:after="0"/>
              <w:rPr>
                <w:sz w:val="23"/>
                <w:szCs w:val="23"/>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12,391</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10.8</w:t>
            </w:r>
          </w:p>
        </w:tc>
      </w:tr>
      <w:tr>
        <w:trPr>
          <w:trHeight w:val="270"/>
        </w:trPr>
        <w:tc>
          <w:tcPr>
            <w:tcW w:w="320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280" w:type="dxa"/>
            <w:vAlign w:val="bottom"/>
          </w:tcPr>
          <w:p>
            <w:pPr>
              <w:spacing w:after="0"/>
              <w:rPr>
                <w:sz w:val="23"/>
                <w:szCs w:val="23"/>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6,365</w:t>
            </w:r>
          </w:p>
        </w:tc>
        <w:tc>
          <w:tcPr>
            <w:tcW w:w="380" w:type="dxa"/>
            <w:vAlign w:val="bottom"/>
          </w:tcPr>
          <w:p>
            <w:pPr>
              <w:spacing w:after="0"/>
              <w:rPr>
                <w:sz w:val="23"/>
                <w:szCs w:val="23"/>
                <w:color w:val="auto"/>
              </w:rPr>
            </w:pP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6,168</w:t>
            </w:r>
          </w:p>
        </w:tc>
        <w:tc>
          <w:tcPr>
            <w:tcW w:w="1320" w:type="dxa"/>
            <w:vAlign w:val="bottom"/>
          </w:tcPr>
          <w:p>
            <w:pPr>
              <w:jc w:val="right"/>
              <w:ind w:right="232"/>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3"/>
                <w:szCs w:val="23"/>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12,879</w:t>
            </w:r>
          </w:p>
        </w:tc>
        <w:tc>
          <w:tcPr>
            <w:tcW w:w="400" w:type="dxa"/>
            <w:vAlign w:val="bottom"/>
          </w:tcPr>
          <w:p>
            <w:pPr>
              <w:spacing w:after="0"/>
              <w:rPr>
                <w:sz w:val="23"/>
                <w:szCs w:val="23"/>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12,107</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6.4</w:t>
            </w:r>
          </w:p>
        </w:tc>
      </w:tr>
      <w:tr>
        <w:trPr>
          <w:trHeight w:val="270"/>
        </w:trPr>
        <w:tc>
          <w:tcPr>
            <w:tcW w:w="3200" w:type="dxa"/>
            <w:vAlign w:val="bottom"/>
          </w:tcPr>
          <w:p>
            <w:pPr>
              <w:ind w:left="380"/>
              <w:spacing w:after="0"/>
              <w:rPr>
                <w:sz w:val="20"/>
                <w:szCs w:val="20"/>
                <w:color w:val="auto"/>
              </w:rPr>
            </w:pPr>
            <w:r>
              <w:rPr>
                <w:rFonts w:ascii="Arial" w:cs="Arial" w:eastAsia="Arial" w:hAnsi="Arial"/>
                <w:sz w:val="18"/>
                <w:szCs w:val="18"/>
                <w:color w:val="auto"/>
                <w:w w:val="93"/>
              </w:rPr>
              <w:t>Advertising, marketing and promotion</w:t>
            </w:r>
          </w:p>
        </w:tc>
        <w:tc>
          <w:tcPr>
            <w:tcW w:w="280" w:type="dxa"/>
            <w:vAlign w:val="bottom"/>
          </w:tcPr>
          <w:p>
            <w:pPr>
              <w:spacing w:after="0"/>
              <w:rPr>
                <w:sz w:val="23"/>
                <w:szCs w:val="23"/>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1,653</w:t>
            </w:r>
          </w:p>
        </w:tc>
        <w:tc>
          <w:tcPr>
            <w:tcW w:w="380" w:type="dxa"/>
            <w:vAlign w:val="bottom"/>
          </w:tcPr>
          <w:p>
            <w:pPr>
              <w:spacing w:after="0"/>
              <w:rPr>
                <w:sz w:val="23"/>
                <w:szCs w:val="23"/>
                <w:color w:val="auto"/>
              </w:rPr>
            </w:pP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1,713</w:t>
            </w:r>
          </w:p>
        </w:tc>
        <w:tc>
          <w:tcPr>
            <w:tcW w:w="1320" w:type="dxa"/>
            <w:vAlign w:val="bottom"/>
          </w:tcPr>
          <w:p>
            <w:pPr>
              <w:jc w:val="right"/>
              <w:ind w:right="172"/>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23"/>
                <w:szCs w:val="23"/>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3,257</w:t>
            </w:r>
          </w:p>
        </w:tc>
        <w:tc>
          <w:tcPr>
            <w:tcW w:w="400" w:type="dxa"/>
            <w:vAlign w:val="bottom"/>
          </w:tcPr>
          <w:p>
            <w:pPr>
              <w:spacing w:after="0"/>
              <w:rPr>
                <w:sz w:val="23"/>
                <w:szCs w:val="23"/>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3,290</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(1.0)</w:t>
            </w:r>
          </w:p>
        </w:tc>
      </w:tr>
      <w:tr>
        <w:trPr>
          <w:trHeight w:val="270"/>
        </w:trPr>
        <w:tc>
          <w:tcPr>
            <w:tcW w:w="320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23"/>
                <w:szCs w:val="23"/>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2,021</w:t>
            </w:r>
          </w:p>
        </w:tc>
        <w:tc>
          <w:tcPr>
            <w:tcW w:w="380" w:type="dxa"/>
            <w:vAlign w:val="bottom"/>
          </w:tcPr>
          <w:p>
            <w:pPr>
              <w:spacing w:after="0"/>
              <w:rPr>
                <w:sz w:val="23"/>
                <w:szCs w:val="23"/>
                <w:color w:val="auto"/>
              </w:rPr>
            </w:pP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1,970</w:t>
            </w:r>
          </w:p>
        </w:tc>
        <w:tc>
          <w:tcPr>
            <w:tcW w:w="1320" w:type="dxa"/>
            <w:vAlign w:val="bottom"/>
          </w:tcPr>
          <w:p>
            <w:pPr>
              <w:jc w:val="right"/>
              <w:ind w:right="232"/>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23"/>
                <w:szCs w:val="23"/>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4,032</w:t>
            </w:r>
          </w:p>
        </w:tc>
        <w:tc>
          <w:tcPr>
            <w:tcW w:w="400" w:type="dxa"/>
            <w:vAlign w:val="bottom"/>
          </w:tcPr>
          <w:p>
            <w:pPr>
              <w:spacing w:after="0"/>
              <w:rPr>
                <w:sz w:val="23"/>
                <w:szCs w:val="23"/>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3,885</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3.8</w:t>
            </w:r>
          </w:p>
        </w:tc>
      </w:tr>
      <w:tr>
        <w:trPr>
          <w:trHeight w:val="270"/>
        </w:trPr>
        <w:tc>
          <w:tcPr>
            <w:tcW w:w="320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280" w:type="dxa"/>
            <w:vAlign w:val="bottom"/>
          </w:tcPr>
          <w:p>
            <w:pPr>
              <w:spacing w:after="0"/>
              <w:rPr>
                <w:sz w:val="23"/>
                <w:szCs w:val="23"/>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582</w:t>
            </w:r>
          </w:p>
        </w:tc>
        <w:tc>
          <w:tcPr>
            <w:tcW w:w="380" w:type="dxa"/>
            <w:vAlign w:val="bottom"/>
          </w:tcPr>
          <w:p>
            <w:pPr>
              <w:spacing w:after="0"/>
              <w:rPr>
                <w:sz w:val="23"/>
                <w:szCs w:val="23"/>
                <w:color w:val="auto"/>
              </w:rPr>
            </w:pP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537</w:t>
            </w:r>
          </w:p>
        </w:tc>
        <w:tc>
          <w:tcPr>
            <w:tcW w:w="1320" w:type="dxa"/>
            <w:vAlign w:val="bottom"/>
          </w:tcPr>
          <w:p>
            <w:pPr>
              <w:jc w:val="right"/>
              <w:ind w:right="232"/>
              <w:spacing w:after="0"/>
              <w:rPr>
                <w:sz w:val="20"/>
                <w:szCs w:val="20"/>
                <w:color w:val="auto"/>
              </w:rPr>
            </w:pPr>
            <w:r>
              <w:rPr>
                <w:rFonts w:ascii="Arial" w:cs="Arial" w:eastAsia="Arial" w:hAnsi="Arial"/>
                <w:sz w:val="18"/>
                <w:szCs w:val="18"/>
                <w:color w:val="auto"/>
              </w:rPr>
              <w:t>8.4</w:t>
            </w:r>
          </w:p>
        </w:tc>
        <w:tc>
          <w:tcPr>
            <w:tcW w:w="340" w:type="dxa"/>
            <w:vAlign w:val="bottom"/>
          </w:tcPr>
          <w:p>
            <w:pPr>
              <w:spacing w:after="0"/>
              <w:rPr>
                <w:sz w:val="23"/>
                <w:szCs w:val="23"/>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1,170</w:t>
            </w:r>
          </w:p>
        </w:tc>
        <w:tc>
          <w:tcPr>
            <w:tcW w:w="400" w:type="dxa"/>
            <w:vAlign w:val="bottom"/>
          </w:tcPr>
          <w:p>
            <w:pPr>
              <w:spacing w:after="0"/>
              <w:rPr>
                <w:sz w:val="23"/>
                <w:szCs w:val="23"/>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1,090</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7.3</w:t>
            </w:r>
          </w:p>
        </w:tc>
      </w:tr>
      <w:tr>
        <w:trPr>
          <w:trHeight w:val="270"/>
        </w:trPr>
        <w:tc>
          <w:tcPr>
            <w:tcW w:w="3200" w:type="dxa"/>
            <w:vAlign w:val="bottom"/>
          </w:tcPr>
          <w:p>
            <w:pPr>
              <w:ind w:left="380"/>
              <w:spacing w:after="0"/>
              <w:rPr>
                <w:sz w:val="20"/>
                <w:szCs w:val="20"/>
                <w:color w:val="auto"/>
              </w:rPr>
            </w:pPr>
            <w:r>
              <w:rPr>
                <w:rFonts w:ascii="Arial" w:cs="Arial" w:eastAsia="Arial" w:hAnsi="Arial"/>
                <w:sz w:val="18"/>
                <w:szCs w:val="18"/>
                <w:color w:val="auto"/>
              </w:rPr>
              <w:t>Other operating gains</w:t>
            </w:r>
          </w:p>
        </w:tc>
        <w:tc>
          <w:tcPr>
            <w:tcW w:w="28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(200)</w:t>
            </w:r>
          </w:p>
        </w:tc>
        <w:tc>
          <w:tcPr>
            <w:tcW w:w="380" w:type="dxa"/>
            <w:vAlign w:val="bottom"/>
          </w:tcPr>
          <w:p>
            <w:pPr>
              <w:spacing w:after="0"/>
              <w:rPr>
                <w:sz w:val="23"/>
                <w:szCs w:val="23"/>
                <w:color w:val="auto"/>
              </w:rPr>
            </w:pP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32"/>
              <w:spacing w:after="0"/>
              <w:rPr>
                <w:sz w:val="20"/>
                <w:szCs w:val="20"/>
                <w:color w:val="auto"/>
              </w:rPr>
            </w:pPr>
            <w:r>
              <w:rPr>
                <w:rFonts w:ascii="Arial" w:cs="Arial" w:eastAsia="Arial" w:hAnsi="Arial"/>
                <w:sz w:val="18"/>
                <w:szCs w:val="18"/>
                <w:color w:val="auto"/>
              </w:rPr>
              <w:t>NM</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w:t>
            </w:r>
          </w:p>
        </w:tc>
        <w:tc>
          <w:tcPr>
            <w:tcW w:w="400" w:type="dxa"/>
            <w:vAlign w:val="bottom"/>
          </w:tcPr>
          <w:p>
            <w:pPr>
              <w:spacing w:after="0"/>
              <w:rPr>
                <w:sz w:val="23"/>
                <w:szCs w:val="23"/>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NM</w:t>
            </w:r>
          </w:p>
        </w:tc>
      </w:tr>
      <w:tr>
        <w:trPr>
          <w:trHeight w:val="27"/>
        </w:trPr>
        <w:tc>
          <w:tcPr>
            <w:tcW w:w="3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Pr>
          <w:p>
            <w:pPr>
              <w:spacing w:after="0"/>
              <w:rPr>
                <w:sz w:val="20"/>
                <w:szCs w:val="20"/>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5,014</w:t>
            </w:r>
          </w:p>
        </w:tc>
        <w:tc>
          <w:tcPr>
            <w:tcW w:w="380" w:type="dxa"/>
            <w:vAlign w:val="bottom"/>
          </w:tcPr>
          <w:p>
            <w:pPr>
              <w:spacing w:after="0"/>
              <w:rPr>
                <w:sz w:val="20"/>
                <w:szCs w:val="20"/>
                <w:color w:val="auto"/>
              </w:rPr>
            </w:pP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4,568</w:t>
            </w:r>
          </w:p>
        </w:tc>
        <w:tc>
          <w:tcPr>
            <w:tcW w:w="1320" w:type="dxa"/>
            <w:vAlign w:val="bottom"/>
          </w:tcPr>
          <w:p>
            <w:pPr>
              <w:jc w:val="right"/>
              <w:ind w:right="232"/>
              <w:spacing w:after="0"/>
              <w:rPr>
                <w:sz w:val="20"/>
                <w:szCs w:val="20"/>
                <w:color w:val="auto"/>
              </w:rPr>
            </w:pPr>
            <w:r>
              <w:rPr>
                <w:rFonts w:ascii="Arial" w:cs="Arial" w:eastAsia="Arial" w:hAnsi="Arial"/>
                <w:sz w:val="18"/>
                <w:szCs w:val="18"/>
                <w:color w:val="auto"/>
              </w:rPr>
              <w:t>9.8</w:t>
            </w:r>
          </w:p>
        </w:tc>
        <w:tc>
          <w:tcPr>
            <w:tcW w:w="340" w:type="dxa"/>
            <w:vAlign w:val="bottom"/>
          </w:tcPr>
          <w:p>
            <w:pPr>
              <w:spacing w:after="0"/>
              <w:rPr>
                <w:sz w:val="20"/>
                <w:szCs w:val="20"/>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9,659</w:t>
            </w:r>
          </w:p>
        </w:tc>
        <w:tc>
          <w:tcPr>
            <w:tcW w:w="400" w:type="dxa"/>
            <w:vAlign w:val="bottom"/>
          </w:tcPr>
          <w:p>
            <w:pPr>
              <w:spacing w:after="0"/>
              <w:rPr>
                <w:sz w:val="20"/>
                <w:szCs w:val="20"/>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9,110</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6.0</w:t>
            </w:r>
          </w:p>
        </w:tc>
      </w:tr>
      <w:tr>
        <w:trPr>
          <w:trHeight w:val="270"/>
        </w:trPr>
        <w:tc>
          <w:tcPr>
            <w:tcW w:w="32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(806)</w:t>
            </w:r>
          </w:p>
        </w:tc>
        <w:tc>
          <w:tcPr>
            <w:tcW w:w="380" w:type="dxa"/>
            <w:vAlign w:val="bottom"/>
          </w:tcPr>
          <w:p>
            <w:pPr>
              <w:spacing w:after="0"/>
              <w:rPr>
                <w:sz w:val="23"/>
                <w:szCs w:val="23"/>
                <w:color w:val="auto"/>
              </w:rPr>
            </w:pP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(758)</w:t>
            </w:r>
          </w:p>
        </w:tc>
        <w:tc>
          <w:tcPr>
            <w:tcW w:w="1320" w:type="dxa"/>
            <w:vAlign w:val="bottom"/>
          </w:tcPr>
          <w:p>
            <w:pPr>
              <w:jc w:val="right"/>
              <w:ind w:right="232"/>
              <w:spacing w:after="0"/>
              <w:rPr>
                <w:sz w:val="20"/>
                <w:szCs w:val="20"/>
                <w:color w:val="auto"/>
              </w:rPr>
            </w:pPr>
            <w:r>
              <w:rPr>
                <w:rFonts w:ascii="Arial" w:cs="Arial" w:eastAsia="Arial" w:hAnsi="Arial"/>
                <w:sz w:val="18"/>
                <w:szCs w:val="18"/>
                <w:color w:val="auto"/>
              </w:rPr>
              <w:t>6.3</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(1,583)</w:t>
            </w:r>
          </w:p>
        </w:tc>
        <w:tc>
          <w:tcPr>
            <w:tcW w:w="400" w:type="dxa"/>
            <w:vAlign w:val="bottom"/>
          </w:tcPr>
          <w:p>
            <w:pPr>
              <w:spacing w:after="0"/>
              <w:rPr>
                <w:sz w:val="23"/>
                <w:szCs w:val="23"/>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(1,513)</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4.6</w:t>
            </w:r>
          </w:p>
        </w:tc>
      </w:tr>
      <w:tr>
        <w:trPr>
          <w:trHeight w:val="270"/>
        </w:trPr>
        <w:tc>
          <w:tcPr>
            <w:tcW w:w="3200" w:type="dxa"/>
            <w:vAlign w:val="bottom"/>
          </w:tcPr>
          <w:p>
            <w:pPr>
              <w:ind w:left="40"/>
              <w:spacing w:after="0"/>
              <w:rPr>
                <w:sz w:val="20"/>
                <w:szCs w:val="20"/>
                <w:color w:val="auto"/>
              </w:rPr>
            </w:pPr>
            <w:r>
              <w:rPr>
                <w:rFonts w:ascii="Arial" w:cs="Arial" w:eastAsia="Arial" w:hAnsi="Arial"/>
                <w:sz w:val="18"/>
                <w:szCs w:val="18"/>
                <w:color w:val="auto"/>
                <w:w w:val="99"/>
              </w:rPr>
              <w:t>Investment and other income (loss), net</w:t>
            </w:r>
          </w:p>
        </w:tc>
        <w:tc>
          <w:tcPr>
            <w:tcW w:w="280" w:type="dxa"/>
            <w:vAlign w:val="bottom"/>
          </w:tcPr>
          <w:p>
            <w:pPr>
              <w:spacing w:after="0"/>
              <w:rPr>
                <w:sz w:val="23"/>
                <w:szCs w:val="23"/>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77</w:t>
            </w:r>
          </w:p>
        </w:tc>
        <w:tc>
          <w:tcPr>
            <w:tcW w:w="380" w:type="dxa"/>
            <w:vAlign w:val="bottom"/>
          </w:tcPr>
          <w:p>
            <w:pPr>
              <w:spacing w:after="0"/>
              <w:rPr>
                <w:sz w:val="23"/>
                <w:szCs w:val="23"/>
                <w:color w:val="auto"/>
              </w:rPr>
            </w:pP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99</w:t>
            </w:r>
          </w:p>
        </w:tc>
        <w:tc>
          <w:tcPr>
            <w:tcW w:w="1320" w:type="dxa"/>
            <w:vAlign w:val="bottom"/>
          </w:tcPr>
          <w:p>
            <w:pPr>
              <w:jc w:val="right"/>
              <w:ind w:right="172"/>
              <w:spacing w:after="0"/>
              <w:rPr>
                <w:sz w:val="20"/>
                <w:szCs w:val="20"/>
                <w:color w:val="auto"/>
              </w:rPr>
            </w:pPr>
            <w:r>
              <w:rPr>
                <w:rFonts w:ascii="Arial" w:cs="Arial" w:eastAsia="Arial" w:hAnsi="Arial"/>
                <w:sz w:val="18"/>
                <w:szCs w:val="18"/>
                <w:color w:val="auto"/>
              </w:rPr>
              <w:t>(23.4)</w:t>
            </w:r>
          </w:p>
        </w:tc>
        <w:tc>
          <w:tcPr>
            <w:tcW w:w="340" w:type="dxa"/>
            <w:vAlign w:val="bottom"/>
          </w:tcPr>
          <w:p>
            <w:pPr>
              <w:spacing w:after="0"/>
              <w:rPr>
                <w:sz w:val="23"/>
                <w:szCs w:val="23"/>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203</w:t>
            </w:r>
          </w:p>
        </w:tc>
        <w:tc>
          <w:tcPr>
            <w:tcW w:w="400" w:type="dxa"/>
            <w:vAlign w:val="bottom"/>
          </w:tcPr>
          <w:p>
            <w:pPr>
              <w:spacing w:after="0"/>
              <w:rPr>
                <w:sz w:val="23"/>
                <w:szCs w:val="23"/>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229</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(11.8)</w:t>
            </w:r>
          </w:p>
        </w:tc>
      </w:tr>
      <w:tr>
        <w:trPr>
          <w:trHeight w:val="27"/>
        </w:trPr>
        <w:tc>
          <w:tcPr>
            <w:tcW w:w="3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20"/>
                <w:szCs w:val="20"/>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4,285</w:t>
            </w:r>
          </w:p>
        </w:tc>
        <w:tc>
          <w:tcPr>
            <w:tcW w:w="380" w:type="dxa"/>
            <w:vAlign w:val="bottom"/>
          </w:tcPr>
          <w:p>
            <w:pPr>
              <w:spacing w:after="0"/>
              <w:rPr>
                <w:sz w:val="20"/>
                <w:szCs w:val="20"/>
                <w:color w:val="auto"/>
              </w:rPr>
            </w:pP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3,909</w:t>
            </w:r>
          </w:p>
        </w:tc>
        <w:tc>
          <w:tcPr>
            <w:tcW w:w="1320" w:type="dxa"/>
            <w:vAlign w:val="bottom"/>
          </w:tcPr>
          <w:p>
            <w:pPr>
              <w:jc w:val="right"/>
              <w:ind w:right="232"/>
              <w:spacing w:after="0"/>
              <w:rPr>
                <w:sz w:val="20"/>
                <w:szCs w:val="20"/>
                <w:color w:val="auto"/>
              </w:rPr>
            </w:pPr>
            <w:r>
              <w:rPr>
                <w:rFonts w:ascii="Arial" w:cs="Arial" w:eastAsia="Arial" w:hAnsi="Arial"/>
                <w:sz w:val="18"/>
                <w:szCs w:val="18"/>
                <w:color w:val="auto"/>
              </w:rPr>
              <w:t>9.6</w:t>
            </w:r>
          </w:p>
        </w:tc>
        <w:tc>
          <w:tcPr>
            <w:tcW w:w="340" w:type="dxa"/>
            <w:vAlign w:val="bottom"/>
          </w:tcPr>
          <w:p>
            <w:pPr>
              <w:spacing w:after="0"/>
              <w:rPr>
                <w:sz w:val="20"/>
                <w:szCs w:val="20"/>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8,279</w:t>
            </w:r>
          </w:p>
        </w:tc>
        <w:tc>
          <w:tcPr>
            <w:tcW w:w="400" w:type="dxa"/>
            <w:vAlign w:val="bottom"/>
          </w:tcPr>
          <w:p>
            <w:pPr>
              <w:spacing w:after="0"/>
              <w:rPr>
                <w:sz w:val="20"/>
                <w:szCs w:val="20"/>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7,826</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5.8</w:t>
            </w:r>
          </w:p>
        </w:tc>
      </w:tr>
      <w:tr>
        <w:trPr>
          <w:trHeight w:val="270"/>
        </w:trPr>
        <w:tc>
          <w:tcPr>
            <w:tcW w:w="32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(1,077)</w:t>
            </w:r>
          </w:p>
        </w:tc>
        <w:tc>
          <w:tcPr>
            <w:tcW w:w="380" w:type="dxa"/>
            <w:vAlign w:val="bottom"/>
          </w:tcPr>
          <w:p>
            <w:pPr>
              <w:spacing w:after="0"/>
              <w:rPr>
                <w:sz w:val="23"/>
                <w:szCs w:val="23"/>
                <w:color w:val="auto"/>
              </w:rPr>
            </w:pP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(1,367)</w:t>
            </w:r>
          </w:p>
        </w:tc>
        <w:tc>
          <w:tcPr>
            <w:tcW w:w="1320" w:type="dxa"/>
            <w:vAlign w:val="bottom"/>
          </w:tcPr>
          <w:p>
            <w:pPr>
              <w:jc w:val="right"/>
              <w:ind w:right="172"/>
              <w:spacing w:after="0"/>
              <w:rPr>
                <w:sz w:val="20"/>
                <w:szCs w:val="20"/>
                <w:color w:val="auto"/>
              </w:rPr>
            </w:pPr>
            <w:r>
              <w:rPr>
                <w:rFonts w:ascii="Arial" w:cs="Arial" w:eastAsia="Arial" w:hAnsi="Arial"/>
                <w:sz w:val="18"/>
                <w:szCs w:val="18"/>
                <w:color w:val="auto"/>
              </w:rPr>
              <w:t>(21.3)</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(1,895)</w:t>
            </w:r>
          </w:p>
        </w:tc>
        <w:tc>
          <w:tcPr>
            <w:tcW w:w="400" w:type="dxa"/>
            <w:vAlign w:val="bottom"/>
          </w:tcPr>
          <w:p>
            <w:pPr>
              <w:spacing w:after="0"/>
              <w:rPr>
                <w:sz w:val="23"/>
                <w:szCs w:val="23"/>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(2,629)</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(27.9)</w:t>
            </w:r>
          </w:p>
        </w:tc>
      </w:tr>
      <w:tr>
        <w:trPr>
          <w:trHeight w:val="27"/>
        </w:trPr>
        <w:tc>
          <w:tcPr>
            <w:tcW w:w="3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20"/>
                <w:szCs w:val="20"/>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3,208</w:t>
            </w:r>
          </w:p>
        </w:tc>
        <w:tc>
          <w:tcPr>
            <w:tcW w:w="380" w:type="dxa"/>
            <w:vAlign w:val="bottom"/>
          </w:tcPr>
          <w:p>
            <w:pPr>
              <w:spacing w:after="0"/>
              <w:rPr>
                <w:sz w:val="20"/>
                <w:szCs w:val="20"/>
                <w:color w:val="auto"/>
              </w:rPr>
            </w:pP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2,542</w:t>
            </w:r>
          </w:p>
        </w:tc>
        <w:tc>
          <w:tcPr>
            <w:tcW w:w="1320" w:type="dxa"/>
            <w:vAlign w:val="bottom"/>
          </w:tcPr>
          <w:p>
            <w:pPr>
              <w:jc w:val="right"/>
              <w:ind w:right="232"/>
              <w:spacing w:after="0"/>
              <w:rPr>
                <w:sz w:val="20"/>
                <w:szCs w:val="20"/>
                <w:color w:val="auto"/>
              </w:rPr>
            </w:pPr>
            <w:r>
              <w:rPr>
                <w:rFonts w:ascii="Arial" w:cs="Arial" w:eastAsia="Arial" w:hAnsi="Arial"/>
                <w:sz w:val="18"/>
                <w:szCs w:val="18"/>
                <w:color w:val="auto"/>
              </w:rPr>
              <w:t>26.2</w:t>
            </w:r>
          </w:p>
        </w:tc>
        <w:tc>
          <w:tcPr>
            <w:tcW w:w="340" w:type="dxa"/>
            <w:vAlign w:val="bottom"/>
          </w:tcPr>
          <w:p>
            <w:pPr>
              <w:spacing w:after="0"/>
              <w:rPr>
                <w:sz w:val="20"/>
                <w:szCs w:val="20"/>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6,384</w:t>
            </w:r>
          </w:p>
        </w:tc>
        <w:tc>
          <w:tcPr>
            <w:tcW w:w="400" w:type="dxa"/>
            <w:vAlign w:val="bottom"/>
          </w:tcPr>
          <w:p>
            <w:pPr>
              <w:spacing w:after="0"/>
              <w:rPr>
                <w:sz w:val="20"/>
                <w:szCs w:val="20"/>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5,197</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22.9</w:t>
            </w:r>
          </w:p>
        </w:tc>
      </w:tr>
      <w:tr>
        <w:trPr>
          <w:trHeight w:val="256"/>
        </w:trPr>
        <w:tc>
          <w:tcPr>
            <w:tcW w:w="3200" w:type="dxa"/>
            <w:vAlign w:val="bottom"/>
          </w:tcPr>
          <w:p>
            <w:pPr>
              <w:ind w:left="40"/>
              <w:spacing w:after="0"/>
              <w:rPr>
                <w:sz w:val="20"/>
                <w:szCs w:val="20"/>
                <w:color w:val="auto"/>
              </w:rPr>
            </w:pPr>
            <w:r>
              <w:rPr>
                <w:rFonts w:ascii="Arial" w:cs="Arial" w:eastAsia="Arial" w:hAnsi="Arial"/>
                <w:sz w:val="18"/>
                <w:szCs w:val="18"/>
                <w:color w:val="auto"/>
              </w:rPr>
              <w:t>Less: Net income (loss) attributable to</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16"/>
        </w:trPr>
        <w:tc>
          <w:tcPr>
            <w:tcW w:w="3200" w:type="dxa"/>
            <w:vAlign w:val="bottom"/>
          </w:tcPr>
          <w:p>
            <w:pPr>
              <w:ind w:left="200"/>
              <w:spacing w:after="0"/>
              <w:rPr>
                <w:sz w:val="20"/>
                <w:szCs w:val="20"/>
                <w:color w:val="auto"/>
              </w:rPr>
            </w:pPr>
            <w:r>
              <w:rPr>
                <w:rFonts w:ascii="Arial" w:cs="Arial" w:eastAsia="Arial" w:hAnsi="Arial"/>
                <w:sz w:val="18"/>
                <w:szCs w:val="18"/>
                <w:color w:val="auto"/>
                <w:w w:val="93"/>
              </w:rPr>
              <w:t>noncontrolling interests and redeemable</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subsidiary preferred stock</w:t>
            </w:r>
          </w:p>
        </w:tc>
        <w:tc>
          <w:tcPr>
            <w:tcW w:w="28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20"/>
                <w:szCs w:val="20"/>
                <w:color w:val="auto"/>
              </w:rPr>
            </w:pP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21</w:t>
            </w:r>
          </w:p>
        </w:tc>
        <w:tc>
          <w:tcPr>
            <w:tcW w:w="1320" w:type="dxa"/>
            <w:vAlign w:val="bottom"/>
          </w:tcPr>
          <w:p>
            <w:pPr>
              <w:jc w:val="right"/>
              <w:ind w:right="172"/>
              <w:spacing w:after="0"/>
              <w:rPr>
                <w:sz w:val="20"/>
                <w:szCs w:val="20"/>
                <w:color w:val="auto"/>
              </w:rPr>
            </w:pPr>
            <w:r>
              <w:rPr>
                <w:rFonts w:ascii="Arial" w:cs="Arial" w:eastAsia="Arial" w:hAnsi="Arial"/>
                <w:sz w:val="18"/>
                <w:szCs w:val="18"/>
                <w:color w:val="auto"/>
              </w:rPr>
              <w:t>(139.8)</w:t>
            </w:r>
          </w:p>
        </w:tc>
        <w:tc>
          <w:tcPr>
            <w:tcW w:w="340" w:type="dxa"/>
            <w:vAlign w:val="bottom"/>
          </w:tcPr>
          <w:p>
            <w:pPr>
              <w:spacing w:after="0"/>
              <w:rPr>
                <w:sz w:val="20"/>
                <w:szCs w:val="20"/>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50</w:t>
            </w:r>
          </w:p>
        </w:tc>
        <w:tc>
          <w:tcPr>
            <w:tcW w:w="400" w:type="dxa"/>
            <w:vAlign w:val="bottom"/>
          </w:tcPr>
          <w:p>
            <w:pPr>
              <w:spacing w:after="0"/>
              <w:rPr>
                <w:sz w:val="20"/>
                <w:szCs w:val="20"/>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103</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(50.8)</w:t>
            </w:r>
          </w:p>
        </w:tc>
      </w:tr>
      <w:tr>
        <w:trPr>
          <w:trHeight w:val="27"/>
        </w:trPr>
        <w:tc>
          <w:tcPr>
            <w:tcW w:w="3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Comcast</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3200" w:type="dxa"/>
            <w:vAlign w:val="bottom"/>
          </w:tcPr>
          <w:p>
            <w:pPr>
              <w:ind w:left="200"/>
              <w:spacing w:after="0"/>
              <w:rPr>
                <w:sz w:val="20"/>
                <w:szCs w:val="20"/>
                <w:color w:val="auto"/>
              </w:rPr>
            </w:pPr>
            <w:r>
              <w:rPr>
                <w:rFonts w:ascii="Arial" w:cs="Arial" w:eastAsia="Arial" w:hAnsi="Arial"/>
                <w:sz w:val="18"/>
                <w:szCs w:val="18"/>
                <w:b w:val="1"/>
                <w:bCs w:val="1"/>
                <w:color w:val="auto"/>
              </w:rPr>
              <w:t>Corporation</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73"/>
              <w:spacing w:after="0"/>
              <w:rPr>
                <w:sz w:val="20"/>
                <w:szCs w:val="20"/>
                <w:color w:val="auto"/>
              </w:rPr>
            </w:pPr>
            <w:r>
              <w:rPr>
                <w:rFonts w:ascii="Arial" w:cs="Arial" w:eastAsia="Arial" w:hAnsi="Arial"/>
                <w:sz w:val="18"/>
                <w:szCs w:val="18"/>
                <w:b w:val="1"/>
                <w:bCs w:val="1"/>
                <w:color w:val="auto"/>
              </w:rPr>
              <w:t>3,216</w:t>
            </w:r>
          </w:p>
        </w:tc>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231"/>
              <w:spacing w:after="0"/>
              <w:rPr>
                <w:sz w:val="20"/>
                <w:szCs w:val="20"/>
                <w:color w:val="auto"/>
              </w:rPr>
            </w:pPr>
            <w:r>
              <w:rPr>
                <w:rFonts w:ascii="Arial" w:cs="Arial" w:eastAsia="Arial" w:hAnsi="Arial"/>
                <w:sz w:val="18"/>
                <w:szCs w:val="18"/>
                <w:b w:val="1"/>
                <w:bCs w:val="1"/>
                <w:color w:val="auto"/>
              </w:rPr>
              <w:t>2,521</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27.6 %</w:t>
            </w:r>
          </w:p>
        </w:tc>
        <w:tc>
          <w:tcPr>
            <w:tcW w:w="3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3"/>
              <w:spacing w:after="0"/>
              <w:rPr>
                <w:sz w:val="20"/>
                <w:szCs w:val="20"/>
                <w:color w:val="auto"/>
              </w:rPr>
            </w:pPr>
            <w:r>
              <w:rPr>
                <w:rFonts w:ascii="Arial" w:cs="Arial" w:eastAsia="Arial" w:hAnsi="Arial"/>
                <w:sz w:val="18"/>
                <w:szCs w:val="18"/>
                <w:b w:val="1"/>
                <w:bCs w:val="1"/>
                <w:color w:val="auto"/>
              </w:rPr>
              <w:t>6,334</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231"/>
              <w:spacing w:after="0"/>
              <w:rPr>
                <w:sz w:val="20"/>
                <w:szCs w:val="20"/>
                <w:color w:val="auto"/>
              </w:rPr>
            </w:pPr>
            <w:r>
              <w:rPr>
                <w:rFonts w:ascii="Arial" w:cs="Arial" w:eastAsia="Arial" w:hAnsi="Arial"/>
                <w:sz w:val="18"/>
                <w:szCs w:val="18"/>
                <w:b w:val="1"/>
                <w:bCs w:val="1"/>
                <w:color w:val="auto"/>
              </w:rPr>
              <w:t>5,094</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24.3 %</w:t>
            </w:r>
          </w:p>
        </w:tc>
      </w:tr>
      <w:tr>
        <w:trPr>
          <w:trHeight w:val="34"/>
        </w:trPr>
        <w:tc>
          <w:tcPr>
            <w:tcW w:w="3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76"/>
        </w:trPr>
        <w:tc>
          <w:tcPr>
            <w:tcW w:w="32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335"/>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25"/>
                <w:szCs w:val="25"/>
                <w:color w:val="auto"/>
                <w:vertAlign w:val="superscript"/>
              </w:rPr>
              <w:t>(a)</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73"/>
              <w:spacing w:after="0"/>
              <w:rPr>
                <w:sz w:val="20"/>
                <w:szCs w:val="20"/>
                <w:color w:val="auto"/>
              </w:rPr>
            </w:pPr>
            <w:r>
              <w:rPr>
                <w:rFonts w:ascii="Arial" w:cs="Arial" w:eastAsia="Arial" w:hAnsi="Arial"/>
                <w:sz w:val="18"/>
                <w:szCs w:val="18"/>
                <w:b w:val="1"/>
                <w:bCs w:val="1"/>
                <w:color w:val="auto"/>
              </w:rPr>
              <w:t>7,417</w:t>
            </w:r>
          </w:p>
        </w:tc>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231"/>
              <w:spacing w:after="0"/>
              <w:rPr>
                <w:sz w:val="20"/>
                <w:szCs w:val="20"/>
                <w:color w:val="auto"/>
              </w:rPr>
            </w:pPr>
            <w:r>
              <w:rPr>
                <w:rFonts w:ascii="Arial" w:cs="Arial" w:eastAsia="Arial" w:hAnsi="Arial"/>
                <w:sz w:val="18"/>
                <w:szCs w:val="18"/>
                <w:b w:val="1"/>
                <w:bCs w:val="1"/>
                <w:color w:val="auto"/>
              </w:rPr>
              <w:t>7,075</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4.8 %</w:t>
            </w:r>
          </w:p>
        </w:tc>
        <w:tc>
          <w:tcPr>
            <w:tcW w:w="3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3"/>
              <w:spacing w:after="0"/>
              <w:rPr>
                <w:sz w:val="20"/>
                <w:szCs w:val="20"/>
                <w:color w:val="auto"/>
              </w:rPr>
            </w:pPr>
            <w:r>
              <w:rPr>
                <w:rFonts w:ascii="Arial" w:cs="Arial" w:eastAsia="Arial" w:hAnsi="Arial"/>
                <w:sz w:val="18"/>
                <w:szCs w:val="18"/>
                <w:b w:val="1"/>
                <w:bCs w:val="1"/>
                <w:color w:val="auto"/>
              </w:rPr>
              <w:t>14,661</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231"/>
              <w:spacing w:after="0"/>
              <w:rPr>
                <w:sz w:val="20"/>
                <w:szCs w:val="20"/>
                <w:color w:val="auto"/>
              </w:rPr>
            </w:pPr>
            <w:r>
              <w:rPr>
                <w:rFonts w:ascii="Arial" w:cs="Arial" w:eastAsia="Arial" w:hAnsi="Arial"/>
                <w:sz w:val="18"/>
                <w:szCs w:val="18"/>
                <w:b w:val="1"/>
                <w:bCs w:val="1"/>
                <w:color w:val="auto"/>
              </w:rPr>
              <w:t>14,085</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1233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163" w:lineRule="exact"/>
        <w:rPr>
          <w:sz w:val="20"/>
          <w:szCs w:val="20"/>
          <w:color w:val="auto"/>
        </w:rPr>
      </w:pPr>
    </w:p>
    <w:p>
      <w:pPr>
        <w:ind w:left="260" w:hanging="252"/>
        <w:spacing w:after="0" w:line="273" w:lineRule="auto"/>
        <w:tabs>
          <w:tab w:leader="none" w:pos="2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Adjusted EBITDA is a non-GAAP financial measure. Refer to the “Non-GAAP Financial Measure” section on page 42 for additional information, including our definition and our use of Adjusted EBITDA, and for a reconciliation from net income attributable to Comcast Corporation to Adjusted EBITDA.</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Cable Communications, Cable Networks, Broadcast Television and Theme Parks segments accounted for the increases in consolidated revenue for the three and six months ended June 30, 2018, which were partially offset by decreases in revenue in our Filmed Entertainment segment. Consolidated revenue for the six months ended June 30, 2018 included revenue associated with our broadcasts of the 2018 PyeongChang Olympics and the 2018 Super Bowl in February 2018.</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 for our segments is discussed separately below under the heading “Segment Operating Results.” Revenue for our business development initiatives and other businesses is discussed separately below under the heading “Corporate and Other Results of Operations.”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Costs and Expenses</w:t>
      </w:r>
    </w:p>
    <w:p>
      <w:pPr>
        <w:spacing w:after="0" w:line="1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Cable Communications, Cable Networks, Broadcast Television and Theme Parks segments accounted for the increases in consolidated operating costs and expenses for the three and six months ended June 30, 2018, which were partially offset by decreases in operating costs and expenses in our Filmed Entertainment segment.</w:t>
      </w:r>
    </w:p>
    <w:p>
      <w:pPr>
        <w:spacing w:after="0" w:line="1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costs and expenses for our segments are discussed separately below under the heading “Segment Operating Results.” Operating costs and expenses for our corporate operations, businesses development initiatives and other businesses are discussed separately below under the heading “Corporate and Other Results of Operations.”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75"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Depreciation and Amortization Expense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40" w:type="dxa"/>
            <w:vAlign w:val="bottom"/>
            <w:gridSpan w:val="3"/>
          </w:tcPr>
          <w:p>
            <w:pPr>
              <w:jc w:val="right"/>
              <w:ind w:right="874"/>
              <w:spacing w:after="0"/>
              <w:rPr>
                <w:sz w:val="20"/>
                <w:szCs w:val="20"/>
                <w:color w:val="auto"/>
              </w:rPr>
            </w:pPr>
            <w:r>
              <w:rPr>
                <w:rFonts w:ascii="Arial" w:cs="Arial" w:eastAsia="Arial" w:hAnsi="Arial"/>
                <w:sz w:val="14"/>
                <w:szCs w:val="14"/>
                <w:color w:val="auto"/>
              </w:rPr>
              <w:t>Three Months Ended</w:t>
            </w:r>
          </w:p>
        </w:tc>
        <w:tc>
          <w:tcPr>
            <w:tcW w:w="1460" w:type="dxa"/>
            <w:vAlign w:val="bottom"/>
          </w:tcPr>
          <w:p>
            <w:pPr>
              <w:jc w:val="right"/>
              <w:ind w:right="450"/>
              <w:spacing w:after="0"/>
              <w:rPr>
                <w:sz w:val="20"/>
                <w:szCs w:val="20"/>
                <w:color w:val="auto"/>
              </w:rPr>
            </w:pPr>
            <w:r>
              <w:rPr>
                <w:rFonts w:ascii="Arial" w:cs="Arial" w:eastAsia="Arial" w:hAnsi="Arial"/>
                <w:sz w:val="14"/>
                <w:szCs w:val="14"/>
                <w:color w:val="auto"/>
              </w:rPr>
              <w:t>Increase/</w:t>
            </w:r>
          </w:p>
        </w:tc>
        <w:tc>
          <w:tcPr>
            <w:tcW w:w="40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1000" w:type="dxa"/>
            <w:vAlign w:val="bottom"/>
          </w:tcPr>
          <w:p>
            <w:pPr>
              <w:spacing w:after="0"/>
              <w:rPr>
                <w:sz w:val="14"/>
                <w:szCs w:val="14"/>
                <w:color w:val="auto"/>
              </w:rPr>
            </w:pPr>
          </w:p>
        </w:tc>
        <w:tc>
          <w:tcPr>
            <w:tcW w:w="1320" w:type="dxa"/>
            <w:vAlign w:val="bottom"/>
          </w:tcPr>
          <w:p>
            <w:pPr>
              <w:jc w:val="right"/>
              <w:ind w:right="316"/>
              <w:spacing w:after="0"/>
              <w:rPr>
                <w:sz w:val="20"/>
                <w:szCs w:val="20"/>
                <w:color w:val="auto"/>
              </w:rPr>
            </w:pPr>
            <w:r>
              <w:rPr>
                <w:rFonts w:ascii="Arial" w:cs="Arial" w:eastAsia="Arial" w:hAnsi="Arial"/>
                <w:sz w:val="14"/>
                <w:szCs w:val="14"/>
                <w:color w:val="auto"/>
              </w:rPr>
              <w:t>Increase/</w:t>
            </w:r>
          </w:p>
        </w:tc>
      </w:tr>
      <w:tr>
        <w:trPr>
          <w:trHeight w:val="188"/>
        </w:trPr>
        <w:tc>
          <w:tcPr>
            <w:tcW w:w="2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w w:val="84"/>
              </w:rPr>
              <w:t>June 30</w:t>
            </w:r>
          </w:p>
        </w:tc>
        <w:tc>
          <w:tcPr>
            <w:tcW w:w="1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color w:val="auto"/>
              </w:rPr>
              <w:t>(Decrease)</w:t>
            </w: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color w:val="auto"/>
                <w:w w:val="84"/>
              </w:rPr>
              <w:t>June 30</w:t>
            </w:r>
          </w:p>
        </w:tc>
        <w:tc>
          <w:tcPr>
            <w:tcW w:w="10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color w:val="auto"/>
              </w:rPr>
              <w:t>(Decrease)</w:t>
            </w:r>
          </w:p>
        </w:tc>
      </w:tr>
      <w:tr>
        <w:trPr>
          <w:trHeight w:val="264"/>
        </w:trPr>
        <w:tc>
          <w:tcPr>
            <w:tcW w:w="2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color w:val="auto"/>
              </w:rPr>
              <w:t>2018</w:t>
            </w:r>
          </w:p>
        </w:tc>
        <w:tc>
          <w:tcPr>
            <w:tcW w:w="6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color w:val="auto"/>
              </w:rPr>
              <w:t>2017</w:t>
            </w:r>
          </w:p>
        </w:tc>
        <w:tc>
          <w:tcPr>
            <w:tcW w:w="14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color w:val="auto"/>
              </w:rPr>
              <w:t>2018</w:t>
            </w:r>
          </w:p>
        </w:tc>
        <w:tc>
          <w:tcPr>
            <w:tcW w:w="7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color w:val="auto"/>
                <w:w w:val="89"/>
              </w:rPr>
              <w:t>2017</w:t>
            </w:r>
          </w:p>
        </w:tc>
        <w:tc>
          <w:tcPr>
            <w:tcW w:w="1320" w:type="dxa"/>
            <w:vAlign w:val="bottom"/>
            <w:tcBorders>
              <w:bottom w:val="single" w:sz="8" w:color="auto"/>
            </w:tcBorders>
          </w:tcPr>
          <w:p>
            <w:pPr>
              <w:spacing w:after="0"/>
              <w:rPr>
                <w:sz w:val="22"/>
                <w:szCs w:val="22"/>
                <w:color w:val="auto"/>
              </w:rPr>
            </w:pPr>
          </w:p>
        </w:tc>
      </w:tr>
      <w:tr>
        <w:trPr>
          <w:trHeight w:val="260"/>
        </w:trPr>
        <w:tc>
          <w:tcPr>
            <w:tcW w:w="2680" w:type="dxa"/>
            <w:vAlign w:val="bottom"/>
          </w:tcPr>
          <w:p>
            <w:pPr>
              <w:ind w:left="40"/>
              <w:spacing w:after="0"/>
              <w:rPr>
                <w:sz w:val="20"/>
                <w:szCs w:val="20"/>
                <w:color w:val="auto"/>
              </w:rPr>
            </w:pPr>
            <w:r>
              <w:rPr>
                <w:rFonts w:ascii="Arial" w:cs="Arial" w:eastAsia="Arial" w:hAnsi="Arial"/>
                <w:sz w:val="18"/>
                <w:szCs w:val="18"/>
                <w:color w:val="auto"/>
              </w:rPr>
              <w:t>Cable Communications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2,047</w:t>
            </w:r>
          </w:p>
        </w:tc>
        <w:tc>
          <w:tcPr>
            <w:tcW w:w="62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54"/>
              <w:spacing w:after="0"/>
              <w:rPr>
                <w:sz w:val="20"/>
                <w:szCs w:val="20"/>
                <w:color w:val="auto"/>
              </w:rPr>
            </w:pPr>
            <w:r>
              <w:rPr>
                <w:rFonts w:ascii="Arial" w:cs="Arial" w:eastAsia="Arial" w:hAnsi="Arial"/>
                <w:sz w:val="18"/>
                <w:szCs w:val="18"/>
                <w:color w:val="auto"/>
              </w:rPr>
              <w:t>1,967</w:t>
            </w:r>
          </w:p>
        </w:tc>
        <w:tc>
          <w:tcPr>
            <w:tcW w:w="1460" w:type="dxa"/>
            <w:vAlign w:val="bottom"/>
          </w:tcPr>
          <w:p>
            <w:pPr>
              <w:jc w:val="right"/>
              <w:ind w:right="50"/>
              <w:spacing w:after="0"/>
              <w:rPr>
                <w:sz w:val="20"/>
                <w:szCs w:val="20"/>
                <w:color w:val="auto"/>
              </w:rPr>
            </w:pPr>
            <w:r>
              <w:rPr>
                <w:rFonts w:ascii="Arial" w:cs="Arial" w:eastAsia="Arial" w:hAnsi="Arial"/>
                <w:sz w:val="20"/>
                <w:szCs w:val="20"/>
                <w:color w:val="auto"/>
              </w:rPr>
              <w:t>4.0 %</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4,100</w:t>
            </w:r>
          </w:p>
        </w:tc>
        <w:tc>
          <w:tcPr>
            <w:tcW w:w="78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4"/>
              <w:spacing w:after="0"/>
              <w:rPr>
                <w:sz w:val="20"/>
                <w:szCs w:val="20"/>
                <w:color w:val="auto"/>
              </w:rPr>
            </w:pPr>
            <w:r>
              <w:rPr>
                <w:rFonts w:ascii="Arial" w:cs="Arial" w:eastAsia="Arial" w:hAnsi="Arial"/>
                <w:sz w:val="18"/>
                <w:szCs w:val="18"/>
                <w:color w:val="auto"/>
              </w:rPr>
              <w:t>3,913</w:t>
            </w:r>
          </w:p>
        </w:tc>
        <w:tc>
          <w:tcPr>
            <w:tcW w:w="13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84"/>
        </w:trPr>
        <w:tc>
          <w:tcPr>
            <w:tcW w:w="268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553</w:t>
            </w:r>
          </w:p>
        </w:tc>
        <w:tc>
          <w:tcPr>
            <w:tcW w:w="620" w:type="dxa"/>
            <w:vAlign w:val="bottom"/>
          </w:tcPr>
          <w:p>
            <w:pPr>
              <w:spacing w:after="0"/>
              <w:rPr>
                <w:sz w:val="24"/>
                <w:szCs w:val="24"/>
                <w:color w:val="auto"/>
              </w:rPr>
            </w:pPr>
          </w:p>
        </w:tc>
        <w:tc>
          <w:tcPr>
            <w:tcW w:w="1180" w:type="dxa"/>
            <w:vAlign w:val="bottom"/>
          </w:tcPr>
          <w:p>
            <w:pPr>
              <w:jc w:val="right"/>
              <w:ind w:right="254"/>
              <w:spacing w:after="0"/>
              <w:rPr>
                <w:sz w:val="20"/>
                <w:szCs w:val="20"/>
                <w:color w:val="auto"/>
              </w:rPr>
            </w:pPr>
            <w:r>
              <w:rPr>
                <w:rFonts w:ascii="Arial" w:cs="Arial" w:eastAsia="Arial" w:hAnsi="Arial"/>
                <w:sz w:val="18"/>
                <w:szCs w:val="18"/>
                <w:color w:val="auto"/>
              </w:rPr>
              <w:t>520</w:t>
            </w:r>
          </w:p>
        </w:tc>
        <w:tc>
          <w:tcPr>
            <w:tcW w:w="1460" w:type="dxa"/>
            <w:vAlign w:val="bottom"/>
          </w:tcPr>
          <w:p>
            <w:pPr>
              <w:jc w:val="right"/>
              <w:ind w:right="270"/>
              <w:spacing w:after="0"/>
              <w:rPr>
                <w:sz w:val="20"/>
                <w:szCs w:val="20"/>
                <w:color w:val="auto"/>
              </w:rPr>
            </w:pPr>
            <w:r>
              <w:rPr>
                <w:rFonts w:ascii="Arial" w:cs="Arial" w:eastAsia="Arial" w:hAnsi="Arial"/>
                <w:sz w:val="20"/>
                <w:szCs w:val="20"/>
                <w:color w:val="auto"/>
              </w:rPr>
              <w:t>6.4</w:t>
            </w: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1,063</w:t>
            </w:r>
          </w:p>
        </w:tc>
        <w:tc>
          <w:tcPr>
            <w:tcW w:w="780" w:type="dxa"/>
            <w:vAlign w:val="bottom"/>
          </w:tcPr>
          <w:p>
            <w:pPr>
              <w:spacing w:after="0"/>
              <w:rPr>
                <w:sz w:val="24"/>
                <w:szCs w:val="24"/>
                <w:color w:val="auto"/>
              </w:rPr>
            </w:pPr>
          </w:p>
        </w:tc>
        <w:tc>
          <w:tcPr>
            <w:tcW w:w="1000" w:type="dxa"/>
            <w:vAlign w:val="bottom"/>
          </w:tcPr>
          <w:p>
            <w:pPr>
              <w:jc w:val="right"/>
              <w:ind w:right="234"/>
              <w:spacing w:after="0"/>
              <w:rPr>
                <w:sz w:val="20"/>
                <w:szCs w:val="20"/>
                <w:color w:val="auto"/>
              </w:rPr>
            </w:pPr>
            <w:r>
              <w:rPr>
                <w:rFonts w:ascii="Arial" w:cs="Arial" w:eastAsia="Arial" w:hAnsi="Arial"/>
                <w:sz w:val="18"/>
                <w:szCs w:val="18"/>
                <w:color w:val="auto"/>
              </w:rPr>
              <w:t>1,028</w:t>
            </w:r>
          </w:p>
        </w:tc>
        <w:tc>
          <w:tcPr>
            <w:tcW w:w="1320" w:type="dxa"/>
            <w:vAlign w:val="bottom"/>
          </w:tcPr>
          <w:p>
            <w:pPr>
              <w:jc w:val="right"/>
              <w:ind w:right="96"/>
              <w:spacing w:after="0"/>
              <w:rPr>
                <w:sz w:val="20"/>
                <w:szCs w:val="20"/>
                <w:color w:val="auto"/>
              </w:rPr>
            </w:pPr>
            <w:r>
              <w:rPr>
                <w:rFonts w:ascii="Arial" w:cs="Arial" w:eastAsia="Arial" w:hAnsi="Arial"/>
                <w:sz w:val="18"/>
                <w:szCs w:val="18"/>
                <w:color w:val="auto"/>
              </w:rPr>
              <w:t>3.4</w:t>
            </w:r>
          </w:p>
        </w:tc>
      </w:tr>
      <w:tr>
        <w:trPr>
          <w:trHeight w:val="284"/>
        </w:trPr>
        <w:tc>
          <w:tcPr>
            <w:tcW w:w="268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24"/>
                <w:szCs w:val="24"/>
                <w:color w:val="auto"/>
              </w:rPr>
            </w:pPr>
          </w:p>
        </w:tc>
        <w:tc>
          <w:tcPr>
            <w:tcW w:w="1180" w:type="dxa"/>
            <w:vAlign w:val="bottom"/>
          </w:tcPr>
          <w:p>
            <w:pPr>
              <w:jc w:val="right"/>
              <w:ind w:right="254"/>
              <w:spacing w:after="0"/>
              <w:rPr>
                <w:sz w:val="20"/>
                <w:szCs w:val="20"/>
                <w:color w:val="auto"/>
              </w:rPr>
            </w:pPr>
            <w:r>
              <w:rPr>
                <w:rFonts w:ascii="Arial" w:cs="Arial" w:eastAsia="Arial" w:hAnsi="Arial"/>
                <w:sz w:val="18"/>
                <w:szCs w:val="18"/>
                <w:color w:val="auto"/>
              </w:rPr>
              <w:t>20</w:t>
            </w:r>
          </w:p>
        </w:tc>
        <w:tc>
          <w:tcPr>
            <w:tcW w:w="1460" w:type="dxa"/>
            <w:vAlign w:val="bottom"/>
          </w:tcPr>
          <w:p>
            <w:pPr>
              <w:jc w:val="right"/>
              <w:ind w:right="210"/>
              <w:spacing w:after="0"/>
              <w:rPr>
                <w:sz w:val="20"/>
                <w:szCs w:val="20"/>
                <w:color w:val="auto"/>
              </w:rPr>
            </w:pPr>
            <w:r>
              <w:rPr>
                <w:rFonts w:ascii="Arial" w:cs="Arial" w:eastAsia="Arial" w:hAnsi="Arial"/>
                <w:sz w:val="20"/>
                <w:szCs w:val="20"/>
                <w:color w:val="auto"/>
              </w:rPr>
              <w:t>(87.0)</w:t>
            </w: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c>
          <w:tcPr>
            <w:tcW w:w="780" w:type="dxa"/>
            <w:vAlign w:val="bottom"/>
          </w:tcPr>
          <w:p>
            <w:pPr>
              <w:spacing w:after="0"/>
              <w:rPr>
                <w:sz w:val="24"/>
                <w:szCs w:val="24"/>
                <w:color w:val="auto"/>
              </w:rPr>
            </w:pPr>
          </w:p>
        </w:tc>
        <w:tc>
          <w:tcPr>
            <w:tcW w:w="1000" w:type="dxa"/>
            <w:vAlign w:val="bottom"/>
          </w:tcPr>
          <w:p>
            <w:pPr>
              <w:jc w:val="right"/>
              <w:ind w:right="234"/>
              <w:spacing w:after="0"/>
              <w:rPr>
                <w:sz w:val="20"/>
                <w:szCs w:val="20"/>
                <w:color w:val="auto"/>
              </w:rPr>
            </w:pPr>
            <w:r>
              <w:rPr>
                <w:rFonts w:ascii="Arial" w:cs="Arial" w:eastAsia="Arial" w:hAnsi="Arial"/>
                <w:sz w:val="18"/>
                <w:szCs w:val="18"/>
                <w:color w:val="auto"/>
              </w:rPr>
              <w:t>34</w:t>
            </w:r>
          </w:p>
        </w:tc>
        <w:tc>
          <w:tcPr>
            <w:tcW w:w="1320" w:type="dxa"/>
            <w:vAlign w:val="bottom"/>
          </w:tcPr>
          <w:p>
            <w:pPr>
              <w:jc w:val="right"/>
              <w:ind w:right="96"/>
              <w:spacing w:after="0"/>
              <w:rPr>
                <w:sz w:val="20"/>
                <w:szCs w:val="20"/>
                <w:color w:val="auto"/>
              </w:rPr>
            </w:pPr>
            <w:r>
              <w:rPr>
                <w:rFonts w:ascii="Arial" w:cs="Arial" w:eastAsia="Arial" w:hAnsi="Arial"/>
                <w:sz w:val="18"/>
                <w:szCs w:val="18"/>
                <w:color w:val="auto"/>
              </w:rPr>
              <w:t>10.4</w:t>
            </w:r>
          </w:p>
        </w:tc>
      </w:tr>
      <w:tr>
        <w:trPr>
          <w:trHeight w:val="23"/>
        </w:trPr>
        <w:tc>
          <w:tcPr>
            <w:tcW w:w="2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4"/>
        </w:trPr>
        <w:tc>
          <w:tcPr>
            <w:tcW w:w="268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2,603</w:t>
            </w:r>
          </w:p>
        </w:tc>
        <w:tc>
          <w:tcPr>
            <w:tcW w:w="620" w:type="dxa"/>
            <w:vAlign w:val="bottom"/>
          </w:tcPr>
          <w:p>
            <w:pPr>
              <w:jc w:val="right"/>
              <w:ind w:right="96"/>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254"/>
              <w:spacing w:after="0"/>
              <w:rPr>
                <w:sz w:val="20"/>
                <w:szCs w:val="20"/>
                <w:color w:val="auto"/>
              </w:rPr>
            </w:pPr>
            <w:r>
              <w:rPr>
                <w:rFonts w:ascii="Arial" w:cs="Arial" w:eastAsia="Arial" w:hAnsi="Arial"/>
                <w:sz w:val="18"/>
                <w:szCs w:val="18"/>
                <w:b w:val="1"/>
                <w:bCs w:val="1"/>
                <w:color w:val="auto"/>
              </w:rPr>
              <w:t>2,507</w:t>
            </w:r>
          </w:p>
        </w:tc>
        <w:tc>
          <w:tcPr>
            <w:tcW w:w="1460" w:type="dxa"/>
            <w:vAlign w:val="bottom"/>
          </w:tcPr>
          <w:p>
            <w:pPr>
              <w:jc w:val="right"/>
              <w:ind w:right="50"/>
              <w:spacing w:after="0"/>
              <w:rPr>
                <w:sz w:val="20"/>
                <w:szCs w:val="20"/>
                <w:color w:val="auto"/>
              </w:rPr>
            </w:pPr>
            <w:r>
              <w:rPr>
                <w:rFonts w:ascii="Arial" w:cs="Arial" w:eastAsia="Arial" w:hAnsi="Arial"/>
                <w:sz w:val="20"/>
                <w:szCs w:val="20"/>
                <w:color w:val="auto"/>
              </w:rPr>
              <w:t>3.8 %</w:t>
            </w:r>
          </w:p>
        </w:tc>
        <w:tc>
          <w:tcPr>
            <w:tcW w:w="4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5,202</w:t>
            </w:r>
          </w:p>
        </w:tc>
        <w:tc>
          <w:tcPr>
            <w:tcW w:w="780" w:type="dxa"/>
            <w:vAlign w:val="bottom"/>
          </w:tcPr>
          <w:p>
            <w:pPr>
              <w:jc w:val="right"/>
              <w:ind w:right="256"/>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234"/>
              <w:spacing w:after="0"/>
              <w:rPr>
                <w:sz w:val="20"/>
                <w:szCs w:val="20"/>
                <w:color w:val="auto"/>
              </w:rPr>
            </w:pPr>
            <w:r>
              <w:rPr>
                <w:rFonts w:ascii="Arial" w:cs="Arial" w:eastAsia="Arial" w:hAnsi="Arial"/>
                <w:sz w:val="18"/>
                <w:szCs w:val="18"/>
                <w:b w:val="1"/>
                <w:bCs w:val="1"/>
                <w:color w:val="auto"/>
              </w:rPr>
              <w:t>4,975</w:t>
            </w:r>
          </w:p>
        </w:tc>
        <w:tc>
          <w:tcPr>
            <w:tcW w:w="13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0"/>
        </w:trPr>
        <w:tc>
          <w:tcPr>
            <w:tcW w:w="2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4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Consolidated depreciation and amortization expense increased for the three and six months ended June 30, 2018 primarily due to increases in both capital expenditures and expenditures for software in our Cable Communications segment in recent years. We continue to invest in our network capacity and in customer premise equipment, primarily for our X1 platform, cloud DVR technology and wireless gateways. Certain of these assets have relatively short estimated useful lives, which also contributed to the increase in depreciation expense for the three and six months ended June 30, 2018 in our Cable Communications segment.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Other Operating Gains</w:t>
      </w:r>
    </w:p>
    <w:p>
      <w:pPr>
        <w:spacing w:after="0" w:line="7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Consolidated other operating gains for both the three and six months ended June 30, 2018 included $200 million related to the sale of a controlling interest in our arena management-related businesses in Corporate and Other (see Note 9 to Comcast’s condensed consolidated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segment operating results are presented based on how we assess operating performance and internally report financial information. We use Adjusted EBITDA as the measure of profit or loss for our operating segments. See Note 2 to both Comcast and NBCUniversal’s condensed consolidated financial statements for our definition of Adjusted EBITDA and a reconciliation from the aggregate amount of Adjusted EBITDA for our reportable business segments to consolidated income before income taxes.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be consistent with our current management reporting presentation, certain 2017 operating results were reclassified within the Cable Communications segment.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 Segment Results of Operations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00" w:type="dxa"/>
            <w:vAlign w:val="bottom"/>
          </w:tcPr>
          <w:p>
            <w:pPr>
              <w:jc w:val="right"/>
              <w:ind w:right="153"/>
              <w:spacing w:after="0"/>
              <w:rPr>
                <w:sz w:val="20"/>
                <w:szCs w:val="20"/>
                <w:color w:val="auto"/>
              </w:rPr>
            </w:pPr>
            <w:r>
              <w:rPr>
                <w:rFonts w:ascii="Arial" w:cs="Arial" w:eastAsia="Arial" w:hAnsi="Arial"/>
                <w:sz w:val="14"/>
                <w:szCs w:val="14"/>
                <w:color w:val="auto"/>
              </w:rPr>
              <w:t>Increase/</w:t>
            </w:r>
          </w:p>
        </w:tc>
        <w:tc>
          <w:tcPr>
            <w:tcW w:w="1080" w:type="dxa"/>
            <w:vAlign w:val="bottom"/>
          </w:tcPr>
          <w:p>
            <w:pPr>
              <w:spacing w:after="0"/>
              <w:rPr>
                <w:sz w:val="14"/>
                <w:szCs w:val="14"/>
                <w:color w:val="auto"/>
              </w:rPr>
            </w:pPr>
          </w:p>
        </w:tc>
      </w:tr>
      <w:tr>
        <w:trPr>
          <w:trHeight w:val="188"/>
        </w:trPr>
        <w:tc>
          <w:tcPr>
            <w:tcW w:w="5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color w:val="auto"/>
              </w:rPr>
              <w:t>June 30</w:t>
            </w:r>
          </w:p>
        </w:tc>
        <w:tc>
          <w:tcPr>
            <w:tcW w:w="9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(Decrease)</w:t>
            </w:r>
          </w:p>
        </w:tc>
        <w:tc>
          <w:tcPr>
            <w:tcW w:w="1080" w:type="dxa"/>
            <w:vAlign w:val="bottom"/>
            <w:tcBorders>
              <w:bottom w:val="single" w:sz="8" w:color="auto"/>
            </w:tcBorders>
          </w:tcPr>
          <w:p>
            <w:pPr>
              <w:spacing w:after="0"/>
              <w:rPr>
                <w:sz w:val="16"/>
                <w:szCs w:val="16"/>
                <w:color w:val="auto"/>
              </w:rPr>
            </w:pPr>
          </w:p>
        </w:tc>
      </w:tr>
      <w:tr>
        <w:trPr>
          <w:trHeight w:val="264"/>
        </w:trPr>
        <w:tc>
          <w:tcPr>
            <w:tcW w:w="50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rPr>
              <w:t>2018</w:t>
            </w:r>
          </w:p>
        </w:tc>
        <w:tc>
          <w:tcPr>
            <w:tcW w:w="6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w w:val="89"/>
              </w:rPr>
              <w:t>2017</w:t>
            </w:r>
          </w:p>
        </w:tc>
        <w:tc>
          <w:tcPr>
            <w:tcW w:w="5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1253"/>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color w:val="auto"/>
              </w:rPr>
              <w:t>%</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Residential:</w:t>
            </w: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5040" w:type="dxa"/>
            <w:vAlign w:val="bottom"/>
          </w:tcPr>
          <w:p>
            <w:pPr>
              <w:ind w:left="700"/>
              <w:spacing w:after="0"/>
              <w:rPr>
                <w:sz w:val="20"/>
                <w:szCs w:val="20"/>
                <w:color w:val="auto"/>
              </w:rPr>
            </w:pPr>
            <w:r>
              <w:rPr>
                <w:rFonts w:ascii="Arial" w:cs="Arial" w:eastAsia="Arial" w:hAnsi="Arial"/>
                <w:sz w:val="18"/>
                <w:szCs w:val="18"/>
                <w:color w:val="auto"/>
              </w:rPr>
              <w:t>Video</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5,628</w:t>
            </w:r>
          </w:p>
        </w:tc>
        <w:tc>
          <w:tcPr>
            <w:tcW w:w="6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5,740</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93"/>
              <w:spacing w:after="0"/>
              <w:rPr>
                <w:sz w:val="20"/>
                <w:szCs w:val="20"/>
                <w:color w:val="auto"/>
              </w:rPr>
            </w:pPr>
            <w:r>
              <w:rPr>
                <w:rFonts w:ascii="Arial" w:cs="Arial" w:eastAsia="Arial" w:hAnsi="Arial"/>
                <w:sz w:val="18"/>
                <w:szCs w:val="18"/>
                <w:color w:val="auto"/>
              </w:rPr>
              <w:t>(112)</w:t>
            </w: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5040" w:type="dxa"/>
            <w:vAlign w:val="bottom"/>
          </w:tcPr>
          <w:p>
            <w:pPr>
              <w:ind w:left="700"/>
              <w:spacing w:after="0"/>
              <w:rPr>
                <w:sz w:val="20"/>
                <w:szCs w:val="20"/>
                <w:color w:val="auto"/>
              </w:rPr>
            </w:pPr>
            <w:r>
              <w:rPr>
                <w:rFonts w:ascii="Arial" w:cs="Arial" w:eastAsia="Arial" w:hAnsi="Arial"/>
                <w:sz w:val="18"/>
                <w:szCs w:val="18"/>
                <w:color w:val="auto"/>
              </w:rPr>
              <w:t>High-speed Internet</w:t>
            </w:r>
          </w:p>
        </w:tc>
        <w:tc>
          <w:tcPr>
            <w:tcW w:w="360" w:type="dxa"/>
            <w:vAlign w:val="bottom"/>
          </w:tcPr>
          <w:p>
            <w:pPr>
              <w:spacing w:after="0"/>
              <w:rPr>
                <w:sz w:val="23"/>
                <w:szCs w:val="23"/>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4,262</w:t>
            </w:r>
          </w:p>
        </w:tc>
        <w:tc>
          <w:tcPr>
            <w:tcW w:w="6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3,898</w:t>
            </w:r>
          </w:p>
        </w:tc>
        <w:tc>
          <w:tcPr>
            <w:tcW w:w="500" w:type="dxa"/>
            <w:vAlign w:val="bottom"/>
          </w:tcPr>
          <w:p>
            <w:pPr>
              <w:spacing w:after="0"/>
              <w:rPr>
                <w:sz w:val="23"/>
                <w:szCs w:val="23"/>
                <w:color w:val="auto"/>
              </w:rPr>
            </w:pPr>
          </w:p>
        </w:tc>
        <w:tc>
          <w:tcPr>
            <w:tcW w:w="1700" w:type="dxa"/>
            <w:vAlign w:val="bottom"/>
          </w:tcPr>
          <w:p>
            <w:pPr>
              <w:jc w:val="right"/>
              <w:ind w:right="653"/>
              <w:spacing w:after="0"/>
              <w:rPr>
                <w:sz w:val="20"/>
                <w:szCs w:val="20"/>
                <w:color w:val="auto"/>
              </w:rPr>
            </w:pPr>
            <w:r>
              <w:rPr>
                <w:rFonts w:ascii="Arial" w:cs="Arial" w:eastAsia="Arial" w:hAnsi="Arial"/>
                <w:sz w:val="18"/>
                <w:szCs w:val="18"/>
                <w:color w:val="auto"/>
              </w:rPr>
              <w:t>364</w:t>
            </w:r>
          </w:p>
        </w:tc>
        <w:tc>
          <w:tcPr>
            <w:tcW w:w="1080" w:type="dxa"/>
            <w:vAlign w:val="bottom"/>
          </w:tcPr>
          <w:p>
            <w:pPr>
              <w:jc w:val="right"/>
              <w:ind w:right="191"/>
              <w:spacing w:after="0"/>
              <w:rPr>
                <w:sz w:val="20"/>
                <w:szCs w:val="20"/>
                <w:color w:val="auto"/>
              </w:rPr>
            </w:pPr>
            <w:r>
              <w:rPr>
                <w:rFonts w:ascii="Arial" w:cs="Arial" w:eastAsia="Arial" w:hAnsi="Arial"/>
                <w:sz w:val="18"/>
                <w:szCs w:val="18"/>
                <w:color w:val="auto"/>
              </w:rPr>
              <w:t>9.3</w:t>
            </w:r>
          </w:p>
        </w:tc>
      </w:tr>
      <w:tr>
        <w:trPr>
          <w:trHeight w:val="270"/>
        </w:trPr>
        <w:tc>
          <w:tcPr>
            <w:tcW w:w="5040" w:type="dxa"/>
            <w:vAlign w:val="bottom"/>
          </w:tcPr>
          <w:p>
            <w:pPr>
              <w:ind w:left="700"/>
              <w:spacing w:after="0"/>
              <w:rPr>
                <w:sz w:val="20"/>
                <w:szCs w:val="20"/>
                <w:color w:val="auto"/>
              </w:rPr>
            </w:pPr>
            <w:r>
              <w:rPr>
                <w:rFonts w:ascii="Arial" w:cs="Arial" w:eastAsia="Arial" w:hAnsi="Arial"/>
                <w:sz w:val="18"/>
                <w:szCs w:val="18"/>
                <w:color w:val="auto"/>
              </w:rPr>
              <w:t>Voice</w:t>
            </w:r>
          </w:p>
        </w:tc>
        <w:tc>
          <w:tcPr>
            <w:tcW w:w="360" w:type="dxa"/>
            <w:vAlign w:val="bottom"/>
          </w:tcPr>
          <w:p>
            <w:pPr>
              <w:spacing w:after="0"/>
              <w:rPr>
                <w:sz w:val="23"/>
                <w:szCs w:val="23"/>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994</w:t>
            </w:r>
          </w:p>
        </w:tc>
        <w:tc>
          <w:tcPr>
            <w:tcW w:w="6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1,034</w:t>
            </w:r>
          </w:p>
        </w:tc>
        <w:tc>
          <w:tcPr>
            <w:tcW w:w="500" w:type="dxa"/>
            <w:vAlign w:val="bottom"/>
          </w:tcPr>
          <w:p>
            <w:pPr>
              <w:spacing w:after="0"/>
              <w:rPr>
                <w:sz w:val="23"/>
                <w:szCs w:val="23"/>
                <w:color w:val="auto"/>
              </w:rPr>
            </w:pPr>
          </w:p>
        </w:tc>
        <w:tc>
          <w:tcPr>
            <w:tcW w:w="1700" w:type="dxa"/>
            <w:vAlign w:val="bottom"/>
          </w:tcPr>
          <w:p>
            <w:pPr>
              <w:jc w:val="right"/>
              <w:ind w:right="593"/>
              <w:spacing w:after="0"/>
              <w:rPr>
                <w:sz w:val="20"/>
                <w:szCs w:val="20"/>
                <w:color w:val="auto"/>
              </w:rPr>
            </w:pPr>
            <w:r>
              <w:rPr>
                <w:rFonts w:ascii="Arial" w:cs="Arial" w:eastAsia="Arial" w:hAnsi="Arial"/>
                <w:sz w:val="18"/>
                <w:szCs w:val="18"/>
                <w:color w:val="auto"/>
              </w:rPr>
              <w:t>(40)</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(3.9)</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Business services</w:t>
            </w:r>
          </w:p>
        </w:tc>
        <w:tc>
          <w:tcPr>
            <w:tcW w:w="360" w:type="dxa"/>
            <w:vAlign w:val="bottom"/>
          </w:tcPr>
          <w:p>
            <w:pPr>
              <w:spacing w:after="0"/>
              <w:rPr>
                <w:sz w:val="23"/>
                <w:szCs w:val="23"/>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1,761</w:t>
            </w:r>
          </w:p>
        </w:tc>
        <w:tc>
          <w:tcPr>
            <w:tcW w:w="6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1,585</w:t>
            </w:r>
          </w:p>
        </w:tc>
        <w:tc>
          <w:tcPr>
            <w:tcW w:w="500" w:type="dxa"/>
            <w:vAlign w:val="bottom"/>
          </w:tcPr>
          <w:p>
            <w:pPr>
              <w:spacing w:after="0"/>
              <w:rPr>
                <w:sz w:val="23"/>
                <w:szCs w:val="23"/>
                <w:color w:val="auto"/>
              </w:rPr>
            </w:pPr>
          </w:p>
        </w:tc>
        <w:tc>
          <w:tcPr>
            <w:tcW w:w="1700" w:type="dxa"/>
            <w:vAlign w:val="bottom"/>
          </w:tcPr>
          <w:p>
            <w:pPr>
              <w:jc w:val="right"/>
              <w:ind w:right="653"/>
              <w:spacing w:after="0"/>
              <w:rPr>
                <w:sz w:val="20"/>
                <w:szCs w:val="20"/>
                <w:color w:val="auto"/>
              </w:rPr>
            </w:pPr>
            <w:r>
              <w:rPr>
                <w:rFonts w:ascii="Arial" w:cs="Arial" w:eastAsia="Arial" w:hAnsi="Arial"/>
                <w:sz w:val="18"/>
                <w:szCs w:val="18"/>
                <w:color w:val="auto"/>
              </w:rPr>
              <w:t>176</w:t>
            </w:r>
          </w:p>
        </w:tc>
        <w:tc>
          <w:tcPr>
            <w:tcW w:w="1080" w:type="dxa"/>
            <w:vAlign w:val="bottom"/>
          </w:tcPr>
          <w:p>
            <w:pPr>
              <w:jc w:val="right"/>
              <w:ind w:right="191"/>
              <w:spacing w:after="0"/>
              <w:rPr>
                <w:sz w:val="20"/>
                <w:szCs w:val="20"/>
                <w:color w:val="auto"/>
              </w:rPr>
            </w:pPr>
            <w:r>
              <w:rPr>
                <w:rFonts w:ascii="Arial" w:cs="Arial" w:eastAsia="Arial" w:hAnsi="Arial"/>
                <w:sz w:val="18"/>
                <w:szCs w:val="18"/>
                <w:color w:val="auto"/>
              </w:rPr>
              <w:t>11.1</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60" w:type="dxa"/>
            <w:vAlign w:val="bottom"/>
          </w:tcPr>
          <w:p>
            <w:pPr>
              <w:spacing w:after="0"/>
              <w:rPr>
                <w:sz w:val="23"/>
                <w:szCs w:val="23"/>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666</w:t>
            </w:r>
          </w:p>
        </w:tc>
        <w:tc>
          <w:tcPr>
            <w:tcW w:w="6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626</w:t>
            </w:r>
          </w:p>
        </w:tc>
        <w:tc>
          <w:tcPr>
            <w:tcW w:w="500" w:type="dxa"/>
            <w:vAlign w:val="bottom"/>
          </w:tcPr>
          <w:p>
            <w:pPr>
              <w:spacing w:after="0"/>
              <w:rPr>
                <w:sz w:val="23"/>
                <w:szCs w:val="23"/>
                <w:color w:val="auto"/>
              </w:rPr>
            </w:pPr>
          </w:p>
        </w:tc>
        <w:tc>
          <w:tcPr>
            <w:tcW w:w="1700" w:type="dxa"/>
            <w:vAlign w:val="bottom"/>
          </w:tcPr>
          <w:p>
            <w:pPr>
              <w:jc w:val="right"/>
              <w:ind w:right="653"/>
              <w:spacing w:after="0"/>
              <w:rPr>
                <w:sz w:val="20"/>
                <w:szCs w:val="20"/>
                <w:color w:val="auto"/>
              </w:rPr>
            </w:pPr>
            <w:r>
              <w:rPr>
                <w:rFonts w:ascii="Arial" w:cs="Arial" w:eastAsia="Arial" w:hAnsi="Arial"/>
                <w:sz w:val="18"/>
                <w:szCs w:val="18"/>
                <w:color w:val="auto"/>
              </w:rPr>
              <w:t>40</w:t>
            </w:r>
          </w:p>
        </w:tc>
        <w:tc>
          <w:tcPr>
            <w:tcW w:w="1080" w:type="dxa"/>
            <w:vAlign w:val="bottom"/>
          </w:tcPr>
          <w:p>
            <w:pPr>
              <w:jc w:val="right"/>
              <w:ind w:right="191"/>
              <w:spacing w:after="0"/>
              <w:rPr>
                <w:sz w:val="20"/>
                <w:szCs w:val="20"/>
                <w:color w:val="auto"/>
              </w:rPr>
            </w:pPr>
            <w:r>
              <w:rPr>
                <w:rFonts w:ascii="Arial" w:cs="Arial" w:eastAsia="Arial" w:hAnsi="Arial"/>
                <w:sz w:val="18"/>
                <w:szCs w:val="18"/>
                <w:color w:val="auto"/>
              </w:rPr>
              <w:t>6.4</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399</w:t>
            </w:r>
          </w:p>
        </w:tc>
        <w:tc>
          <w:tcPr>
            <w:tcW w:w="6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374</w:t>
            </w:r>
          </w:p>
        </w:tc>
        <w:tc>
          <w:tcPr>
            <w:tcW w:w="500" w:type="dxa"/>
            <w:vAlign w:val="bottom"/>
          </w:tcPr>
          <w:p>
            <w:pPr>
              <w:spacing w:after="0"/>
              <w:rPr>
                <w:sz w:val="23"/>
                <w:szCs w:val="23"/>
                <w:color w:val="auto"/>
              </w:rPr>
            </w:pPr>
          </w:p>
        </w:tc>
        <w:tc>
          <w:tcPr>
            <w:tcW w:w="1700" w:type="dxa"/>
            <w:vAlign w:val="bottom"/>
          </w:tcPr>
          <w:p>
            <w:pPr>
              <w:jc w:val="right"/>
              <w:ind w:right="653"/>
              <w:spacing w:after="0"/>
              <w:rPr>
                <w:sz w:val="20"/>
                <w:szCs w:val="20"/>
                <w:color w:val="auto"/>
              </w:rPr>
            </w:pPr>
            <w:r>
              <w:rPr>
                <w:rFonts w:ascii="Arial" w:cs="Arial" w:eastAsia="Arial" w:hAnsi="Arial"/>
                <w:sz w:val="18"/>
                <w:szCs w:val="18"/>
                <w:color w:val="auto"/>
              </w:rPr>
              <w:t>25</w:t>
            </w:r>
          </w:p>
        </w:tc>
        <w:tc>
          <w:tcPr>
            <w:tcW w:w="1080" w:type="dxa"/>
            <w:vAlign w:val="bottom"/>
          </w:tcPr>
          <w:p>
            <w:pPr>
              <w:jc w:val="right"/>
              <w:ind w:right="191"/>
              <w:spacing w:after="0"/>
              <w:rPr>
                <w:sz w:val="20"/>
                <w:szCs w:val="20"/>
                <w:color w:val="auto"/>
              </w:rPr>
            </w:pPr>
            <w:r>
              <w:rPr>
                <w:rFonts w:ascii="Arial" w:cs="Arial" w:eastAsia="Arial" w:hAnsi="Arial"/>
                <w:sz w:val="18"/>
                <w:szCs w:val="18"/>
                <w:color w:val="auto"/>
              </w:rPr>
              <w:t>6.9</w:t>
            </w:r>
          </w:p>
        </w:tc>
      </w:tr>
      <w:tr>
        <w:trPr>
          <w:trHeight w:val="27"/>
        </w:trPr>
        <w:tc>
          <w:tcPr>
            <w:tcW w:w="5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b w:val="1"/>
                <w:bCs w:val="1"/>
                <w:color w:val="auto"/>
              </w:rPr>
              <w:t>13,710</w:t>
            </w:r>
          </w:p>
        </w:tc>
        <w:tc>
          <w:tcPr>
            <w:tcW w:w="66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b w:val="1"/>
                <w:bCs w:val="1"/>
                <w:color w:val="auto"/>
              </w:rPr>
              <w:t>13,257</w:t>
            </w:r>
          </w:p>
        </w:tc>
        <w:tc>
          <w:tcPr>
            <w:tcW w:w="500" w:type="dxa"/>
            <w:vAlign w:val="bottom"/>
          </w:tcPr>
          <w:p>
            <w:pPr>
              <w:spacing w:after="0"/>
              <w:rPr>
                <w:sz w:val="20"/>
                <w:szCs w:val="20"/>
                <w:color w:val="auto"/>
              </w:rPr>
            </w:pPr>
          </w:p>
        </w:tc>
        <w:tc>
          <w:tcPr>
            <w:tcW w:w="1700" w:type="dxa"/>
            <w:vAlign w:val="bottom"/>
          </w:tcPr>
          <w:p>
            <w:pPr>
              <w:jc w:val="right"/>
              <w:ind w:right="653"/>
              <w:spacing w:after="0"/>
              <w:rPr>
                <w:sz w:val="20"/>
                <w:szCs w:val="20"/>
                <w:color w:val="auto"/>
              </w:rPr>
            </w:pPr>
            <w:r>
              <w:rPr>
                <w:rFonts w:ascii="Arial" w:cs="Arial" w:eastAsia="Arial" w:hAnsi="Arial"/>
                <w:sz w:val="18"/>
                <w:szCs w:val="18"/>
                <w:b w:val="1"/>
                <w:bCs w:val="1"/>
                <w:color w:val="auto"/>
              </w:rPr>
              <w:t>453</w:t>
            </w:r>
          </w:p>
        </w:tc>
        <w:tc>
          <w:tcPr>
            <w:tcW w:w="1080" w:type="dxa"/>
            <w:vAlign w:val="bottom"/>
          </w:tcPr>
          <w:p>
            <w:pPr>
              <w:jc w:val="right"/>
              <w:ind w:right="191"/>
              <w:spacing w:after="0"/>
              <w:rPr>
                <w:sz w:val="20"/>
                <w:szCs w:val="20"/>
                <w:color w:val="auto"/>
              </w:rPr>
            </w:pPr>
            <w:r>
              <w:rPr>
                <w:rFonts w:ascii="Arial" w:cs="Arial" w:eastAsia="Arial" w:hAnsi="Arial"/>
                <w:sz w:val="18"/>
                <w:szCs w:val="18"/>
                <w:b w:val="1"/>
                <w:bCs w:val="1"/>
                <w:color w:val="auto"/>
              </w:rPr>
              <w:t>3.4</w:t>
            </w:r>
          </w:p>
        </w:tc>
      </w:tr>
      <w:tr>
        <w:trPr>
          <w:trHeight w:val="270"/>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Programming</w:t>
            </w:r>
          </w:p>
        </w:tc>
        <w:tc>
          <w:tcPr>
            <w:tcW w:w="360" w:type="dxa"/>
            <w:vAlign w:val="bottom"/>
          </w:tcPr>
          <w:p>
            <w:pPr>
              <w:spacing w:after="0"/>
              <w:rPr>
                <w:sz w:val="23"/>
                <w:szCs w:val="23"/>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3,312</w:t>
            </w:r>
          </w:p>
        </w:tc>
        <w:tc>
          <w:tcPr>
            <w:tcW w:w="6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3,206</w:t>
            </w:r>
          </w:p>
        </w:tc>
        <w:tc>
          <w:tcPr>
            <w:tcW w:w="500" w:type="dxa"/>
            <w:vAlign w:val="bottom"/>
          </w:tcPr>
          <w:p>
            <w:pPr>
              <w:spacing w:after="0"/>
              <w:rPr>
                <w:sz w:val="23"/>
                <w:szCs w:val="23"/>
                <w:color w:val="auto"/>
              </w:rPr>
            </w:pPr>
          </w:p>
        </w:tc>
        <w:tc>
          <w:tcPr>
            <w:tcW w:w="1700" w:type="dxa"/>
            <w:vAlign w:val="bottom"/>
          </w:tcPr>
          <w:p>
            <w:pPr>
              <w:jc w:val="right"/>
              <w:ind w:right="653"/>
              <w:spacing w:after="0"/>
              <w:rPr>
                <w:sz w:val="20"/>
                <w:szCs w:val="20"/>
                <w:color w:val="auto"/>
              </w:rPr>
            </w:pPr>
            <w:r>
              <w:rPr>
                <w:rFonts w:ascii="Arial" w:cs="Arial" w:eastAsia="Arial" w:hAnsi="Arial"/>
                <w:sz w:val="18"/>
                <w:szCs w:val="18"/>
                <w:color w:val="auto"/>
              </w:rPr>
              <w:t>106</w:t>
            </w:r>
          </w:p>
        </w:tc>
        <w:tc>
          <w:tcPr>
            <w:tcW w:w="1080" w:type="dxa"/>
            <w:vAlign w:val="bottom"/>
          </w:tcPr>
          <w:p>
            <w:pPr>
              <w:jc w:val="right"/>
              <w:ind w:right="191"/>
              <w:spacing w:after="0"/>
              <w:rPr>
                <w:sz w:val="20"/>
                <w:szCs w:val="20"/>
                <w:color w:val="auto"/>
              </w:rPr>
            </w:pPr>
            <w:r>
              <w:rPr>
                <w:rFonts w:ascii="Arial" w:cs="Arial" w:eastAsia="Arial" w:hAnsi="Arial"/>
                <w:sz w:val="18"/>
                <w:szCs w:val="18"/>
                <w:color w:val="auto"/>
              </w:rPr>
              <w:t>3.3</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Technical and product support</w:t>
            </w:r>
          </w:p>
        </w:tc>
        <w:tc>
          <w:tcPr>
            <w:tcW w:w="360" w:type="dxa"/>
            <w:vAlign w:val="bottom"/>
          </w:tcPr>
          <w:p>
            <w:pPr>
              <w:spacing w:after="0"/>
              <w:rPr>
                <w:sz w:val="23"/>
                <w:szCs w:val="23"/>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1,596</w:t>
            </w:r>
          </w:p>
        </w:tc>
        <w:tc>
          <w:tcPr>
            <w:tcW w:w="6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1,549</w:t>
            </w:r>
          </w:p>
        </w:tc>
        <w:tc>
          <w:tcPr>
            <w:tcW w:w="500" w:type="dxa"/>
            <w:vAlign w:val="bottom"/>
          </w:tcPr>
          <w:p>
            <w:pPr>
              <w:spacing w:after="0"/>
              <w:rPr>
                <w:sz w:val="23"/>
                <w:szCs w:val="23"/>
                <w:color w:val="auto"/>
              </w:rPr>
            </w:pPr>
          </w:p>
        </w:tc>
        <w:tc>
          <w:tcPr>
            <w:tcW w:w="1700" w:type="dxa"/>
            <w:vAlign w:val="bottom"/>
          </w:tcPr>
          <w:p>
            <w:pPr>
              <w:jc w:val="right"/>
              <w:ind w:right="653"/>
              <w:spacing w:after="0"/>
              <w:rPr>
                <w:sz w:val="20"/>
                <w:szCs w:val="20"/>
                <w:color w:val="auto"/>
              </w:rPr>
            </w:pPr>
            <w:r>
              <w:rPr>
                <w:rFonts w:ascii="Arial" w:cs="Arial" w:eastAsia="Arial" w:hAnsi="Arial"/>
                <w:sz w:val="18"/>
                <w:szCs w:val="18"/>
                <w:color w:val="auto"/>
              </w:rPr>
              <w:t>47</w:t>
            </w:r>
          </w:p>
        </w:tc>
        <w:tc>
          <w:tcPr>
            <w:tcW w:w="1080" w:type="dxa"/>
            <w:vAlign w:val="bottom"/>
          </w:tcPr>
          <w:p>
            <w:pPr>
              <w:jc w:val="right"/>
              <w:ind w:right="191"/>
              <w:spacing w:after="0"/>
              <w:rPr>
                <w:sz w:val="20"/>
                <w:szCs w:val="20"/>
                <w:color w:val="auto"/>
              </w:rPr>
            </w:pPr>
            <w:r>
              <w:rPr>
                <w:rFonts w:ascii="Arial" w:cs="Arial" w:eastAsia="Arial" w:hAnsi="Arial"/>
                <w:sz w:val="18"/>
                <w:szCs w:val="18"/>
                <w:color w:val="auto"/>
              </w:rPr>
              <w:t>3.1</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Customer service</w:t>
            </w:r>
          </w:p>
        </w:tc>
        <w:tc>
          <w:tcPr>
            <w:tcW w:w="360" w:type="dxa"/>
            <w:vAlign w:val="bottom"/>
          </w:tcPr>
          <w:p>
            <w:pPr>
              <w:spacing w:after="0"/>
              <w:rPr>
                <w:sz w:val="23"/>
                <w:szCs w:val="23"/>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600</w:t>
            </w:r>
          </w:p>
        </w:tc>
        <w:tc>
          <w:tcPr>
            <w:tcW w:w="6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605</w:t>
            </w:r>
          </w:p>
        </w:tc>
        <w:tc>
          <w:tcPr>
            <w:tcW w:w="500" w:type="dxa"/>
            <w:vAlign w:val="bottom"/>
          </w:tcPr>
          <w:p>
            <w:pPr>
              <w:spacing w:after="0"/>
              <w:rPr>
                <w:sz w:val="23"/>
                <w:szCs w:val="23"/>
                <w:color w:val="auto"/>
              </w:rPr>
            </w:pPr>
          </w:p>
        </w:tc>
        <w:tc>
          <w:tcPr>
            <w:tcW w:w="1700" w:type="dxa"/>
            <w:vAlign w:val="bottom"/>
          </w:tcPr>
          <w:p>
            <w:pPr>
              <w:jc w:val="right"/>
              <w:ind w:right="593"/>
              <w:spacing w:after="0"/>
              <w:rPr>
                <w:sz w:val="20"/>
                <w:szCs w:val="20"/>
                <w:color w:val="auto"/>
              </w:rPr>
            </w:pPr>
            <w:r>
              <w:rPr>
                <w:rFonts w:ascii="Arial" w:cs="Arial" w:eastAsia="Arial" w:hAnsi="Arial"/>
                <w:sz w:val="18"/>
                <w:szCs w:val="18"/>
                <w:color w:val="auto"/>
              </w:rPr>
              <w:t>(5)</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(0.8)</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60" w:type="dxa"/>
            <w:vAlign w:val="bottom"/>
          </w:tcPr>
          <w:p>
            <w:pPr>
              <w:spacing w:after="0"/>
              <w:rPr>
                <w:sz w:val="23"/>
                <w:szCs w:val="23"/>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927</w:t>
            </w:r>
          </w:p>
        </w:tc>
        <w:tc>
          <w:tcPr>
            <w:tcW w:w="6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932</w:t>
            </w:r>
          </w:p>
        </w:tc>
        <w:tc>
          <w:tcPr>
            <w:tcW w:w="500" w:type="dxa"/>
            <w:vAlign w:val="bottom"/>
          </w:tcPr>
          <w:p>
            <w:pPr>
              <w:spacing w:after="0"/>
              <w:rPr>
                <w:sz w:val="23"/>
                <w:szCs w:val="23"/>
                <w:color w:val="auto"/>
              </w:rPr>
            </w:pPr>
          </w:p>
        </w:tc>
        <w:tc>
          <w:tcPr>
            <w:tcW w:w="1700" w:type="dxa"/>
            <w:vAlign w:val="bottom"/>
          </w:tcPr>
          <w:p>
            <w:pPr>
              <w:jc w:val="right"/>
              <w:ind w:right="593"/>
              <w:spacing w:after="0"/>
              <w:rPr>
                <w:sz w:val="20"/>
                <w:szCs w:val="20"/>
                <w:color w:val="auto"/>
              </w:rPr>
            </w:pPr>
            <w:r>
              <w:rPr>
                <w:rFonts w:ascii="Arial" w:cs="Arial" w:eastAsia="Arial" w:hAnsi="Arial"/>
                <w:sz w:val="18"/>
                <w:szCs w:val="18"/>
                <w:color w:val="auto"/>
              </w:rPr>
              <w:t>(5)</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(0.5)</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Franchise and other regulatory fees</w:t>
            </w:r>
          </w:p>
        </w:tc>
        <w:tc>
          <w:tcPr>
            <w:tcW w:w="360" w:type="dxa"/>
            <w:vAlign w:val="bottom"/>
          </w:tcPr>
          <w:p>
            <w:pPr>
              <w:spacing w:after="0"/>
              <w:rPr>
                <w:sz w:val="23"/>
                <w:szCs w:val="23"/>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390</w:t>
            </w:r>
          </w:p>
        </w:tc>
        <w:tc>
          <w:tcPr>
            <w:tcW w:w="6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399</w:t>
            </w:r>
          </w:p>
        </w:tc>
        <w:tc>
          <w:tcPr>
            <w:tcW w:w="500" w:type="dxa"/>
            <w:vAlign w:val="bottom"/>
          </w:tcPr>
          <w:p>
            <w:pPr>
              <w:spacing w:after="0"/>
              <w:rPr>
                <w:sz w:val="23"/>
                <w:szCs w:val="23"/>
                <w:color w:val="auto"/>
              </w:rPr>
            </w:pPr>
          </w:p>
        </w:tc>
        <w:tc>
          <w:tcPr>
            <w:tcW w:w="1700" w:type="dxa"/>
            <w:vAlign w:val="bottom"/>
          </w:tcPr>
          <w:p>
            <w:pPr>
              <w:jc w:val="right"/>
              <w:ind w:right="593"/>
              <w:spacing w:after="0"/>
              <w:rPr>
                <w:sz w:val="20"/>
                <w:szCs w:val="20"/>
                <w:color w:val="auto"/>
              </w:rPr>
            </w:pPr>
            <w:r>
              <w:rPr>
                <w:rFonts w:ascii="Arial" w:cs="Arial" w:eastAsia="Arial" w:hAnsi="Arial"/>
                <w:sz w:val="18"/>
                <w:szCs w:val="18"/>
                <w:color w:val="auto"/>
              </w:rPr>
              <w:t>(9)</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(2.2)</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1,247</w:t>
            </w:r>
          </w:p>
        </w:tc>
        <w:tc>
          <w:tcPr>
            <w:tcW w:w="6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1,273</w:t>
            </w:r>
          </w:p>
        </w:tc>
        <w:tc>
          <w:tcPr>
            <w:tcW w:w="500" w:type="dxa"/>
            <w:vAlign w:val="bottom"/>
          </w:tcPr>
          <w:p>
            <w:pPr>
              <w:spacing w:after="0"/>
              <w:rPr>
                <w:sz w:val="23"/>
                <w:szCs w:val="23"/>
                <w:color w:val="auto"/>
              </w:rPr>
            </w:pPr>
          </w:p>
        </w:tc>
        <w:tc>
          <w:tcPr>
            <w:tcW w:w="1700" w:type="dxa"/>
            <w:vAlign w:val="bottom"/>
          </w:tcPr>
          <w:p>
            <w:pPr>
              <w:jc w:val="right"/>
              <w:ind w:right="593"/>
              <w:spacing w:after="0"/>
              <w:rPr>
                <w:sz w:val="20"/>
                <w:szCs w:val="20"/>
                <w:color w:val="auto"/>
              </w:rPr>
            </w:pPr>
            <w:r>
              <w:rPr>
                <w:rFonts w:ascii="Arial" w:cs="Arial" w:eastAsia="Arial" w:hAnsi="Arial"/>
                <w:sz w:val="18"/>
                <w:szCs w:val="18"/>
                <w:color w:val="auto"/>
              </w:rPr>
              <w:t>(26)</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(2.1)</w:t>
            </w:r>
          </w:p>
        </w:tc>
      </w:tr>
      <w:tr>
        <w:trPr>
          <w:trHeight w:val="27"/>
        </w:trPr>
        <w:tc>
          <w:tcPr>
            <w:tcW w:w="5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Total operating costs and expenses</w:t>
            </w:r>
          </w:p>
        </w:tc>
        <w:tc>
          <w:tcPr>
            <w:tcW w:w="360" w:type="dxa"/>
            <w:vAlign w:val="bottom"/>
          </w:tcPr>
          <w:p>
            <w:pPr>
              <w:spacing w:after="0"/>
              <w:rPr>
                <w:sz w:val="20"/>
                <w:szCs w:val="20"/>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8,072</w:t>
            </w:r>
          </w:p>
        </w:tc>
        <w:tc>
          <w:tcPr>
            <w:tcW w:w="66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7,964</w:t>
            </w:r>
          </w:p>
        </w:tc>
        <w:tc>
          <w:tcPr>
            <w:tcW w:w="500" w:type="dxa"/>
            <w:vAlign w:val="bottom"/>
          </w:tcPr>
          <w:p>
            <w:pPr>
              <w:spacing w:after="0"/>
              <w:rPr>
                <w:sz w:val="20"/>
                <w:szCs w:val="20"/>
                <w:color w:val="auto"/>
              </w:rPr>
            </w:pPr>
          </w:p>
        </w:tc>
        <w:tc>
          <w:tcPr>
            <w:tcW w:w="1700" w:type="dxa"/>
            <w:vAlign w:val="bottom"/>
          </w:tcPr>
          <w:p>
            <w:pPr>
              <w:jc w:val="right"/>
              <w:ind w:right="653"/>
              <w:spacing w:after="0"/>
              <w:rPr>
                <w:sz w:val="20"/>
                <w:szCs w:val="20"/>
                <w:color w:val="auto"/>
              </w:rPr>
            </w:pPr>
            <w:r>
              <w:rPr>
                <w:rFonts w:ascii="Arial" w:cs="Arial" w:eastAsia="Arial" w:hAnsi="Arial"/>
                <w:sz w:val="18"/>
                <w:szCs w:val="18"/>
                <w:color w:val="auto"/>
              </w:rPr>
              <w:t>108</w:t>
            </w:r>
          </w:p>
        </w:tc>
        <w:tc>
          <w:tcPr>
            <w:tcW w:w="1080" w:type="dxa"/>
            <w:vAlign w:val="bottom"/>
          </w:tcPr>
          <w:p>
            <w:pPr>
              <w:jc w:val="right"/>
              <w:ind w:right="191"/>
              <w:spacing w:after="0"/>
              <w:rPr>
                <w:sz w:val="20"/>
                <w:szCs w:val="20"/>
                <w:color w:val="auto"/>
              </w:rPr>
            </w:pPr>
            <w:r>
              <w:rPr>
                <w:rFonts w:ascii="Arial" w:cs="Arial" w:eastAsia="Arial" w:hAnsi="Arial"/>
                <w:sz w:val="18"/>
                <w:szCs w:val="18"/>
                <w:color w:val="auto"/>
              </w:rPr>
              <w:t>1.4</w:t>
            </w:r>
          </w:p>
        </w:tc>
      </w:tr>
      <w:tr>
        <w:trPr>
          <w:trHeight w:val="27"/>
        </w:trPr>
        <w:tc>
          <w:tcPr>
            <w:tcW w:w="5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53"/>
              <w:spacing w:after="0"/>
              <w:rPr>
                <w:sz w:val="20"/>
                <w:szCs w:val="20"/>
                <w:color w:val="auto"/>
              </w:rPr>
            </w:pPr>
            <w:r>
              <w:rPr>
                <w:rFonts w:ascii="Arial" w:cs="Arial" w:eastAsia="Arial" w:hAnsi="Arial"/>
                <w:sz w:val="18"/>
                <w:szCs w:val="18"/>
                <w:b w:val="1"/>
                <w:bCs w:val="1"/>
                <w:color w:val="auto"/>
              </w:rPr>
              <w:t>5,638</w:t>
            </w:r>
          </w:p>
        </w:tc>
        <w:tc>
          <w:tcPr>
            <w:tcW w:w="66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b w:val="1"/>
                <w:bCs w:val="1"/>
                <w:color w:val="auto"/>
              </w:rPr>
              <w:t>5,293</w:t>
            </w:r>
          </w:p>
        </w:tc>
        <w:tc>
          <w:tcPr>
            <w:tcW w:w="50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700" w:type="dxa"/>
            <w:vAlign w:val="bottom"/>
          </w:tcPr>
          <w:p>
            <w:pPr>
              <w:jc w:val="right"/>
              <w:ind w:right="653"/>
              <w:spacing w:after="0"/>
              <w:rPr>
                <w:sz w:val="20"/>
                <w:szCs w:val="20"/>
                <w:color w:val="auto"/>
              </w:rPr>
            </w:pPr>
            <w:r>
              <w:rPr>
                <w:rFonts w:ascii="Arial" w:cs="Arial" w:eastAsia="Arial" w:hAnsi="Arial"/>
                <w:sz w:val="18"/>
                <w:szCs w:val="18"/>
                <w:b w:val="1"/>
                <w:bCs w:val="1"/>
                <w:color w:val="auto"/>
              </w:rPr>
              <w:t>345</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6.5 %</w:t>
            </w:r>
          </w:p>
        </w:tc>
      </w:tr>
      <w:tr>
        <w:trPr>
          <w:trHeight w:val="34"/>
        </w:trPr>
        <w:tc>
          <w:tcPr>
            <w:tcW w:w="5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75" w:right="2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75" w:right="2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80" w:type="dxa"/>
            <w:vAlign w:val="bottom"/>
            <w:gridSpan w:val="2"/>
          </w:tcPr>
          <w:p>
            <w:pPr>
              <w:jc w:val="right"/>
              <w:ind w:right="534"/>
              <w:spacing w:after="0"/>
              <w:rPr>
                <w:sz w:val="20"/>
                <w:szCs w:val="20"/>
                <w:color w:val="auto"/>
              </w:rPr>
            </w:pPr>
            <w:r>
              <w:rPr>
                <w:rFonts w:ascii="Arial" w:cs="Arial" w:eastAsia="Arial" w:hAnsi="Arial"/>
                <w:sz w:val="14"/>
                <w:szCs w:val="14"/>
                <w:color w:val="auto"/>
              </w:rPr>
              <w:t>Increase/</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8"/>
        </w:trPr>
        <w:tc>
          <w:tcPr>
            <w:tcW w:w="4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2"/>
          </w:tcPr>
          <w:p>
            <w:pPr>
              <w:jc w:val="right"/>
              <w:ind w:right="291"/>
              <w:spacing w:after="0"/>
              <w:rPr>
                <w:sz w:val="20"/>
                <w:szCs w:val="20"/>
                <w:color w:val="auto"/>
              </w:rPr>
            </w:pPr>
            <w:r>
              <w:rPr>
                <w:rFonts w:ascii="Arial" w:cs="Arial" w:eastAsia="Arial" w:hAnsi="Arial"/>
                <w:sz w:val="14"/>
                <w:szCs w:val="14"/>
                <w:color w:val="auto"/>
              </w:rPr>
              <w:t>June 30</w:t>
            </w:r>
          </w:p>
        </w:tc>
        <w:tc>
          <w:tcPr>
            <w:tcW w:w="8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2"/>
          </w:tcPr>
          <w:p>
            <w:pPr>
              <w:jc w:val="right"/>
              <w:ind w:right="474"/>
              <w:spacing w:after="0"/>
              <w:rPr>
                <w:sz w:val="20"/>
                <w:szCs w:val="20"/>
                <w:color w:val="auto"/>
              </w:rPr>
            </w:pPr>
            <w:r>
              <w:rPr>
                <w:rFonts w:ascii="Arial" w:cs="Arial" w:eastAsia="Arial" w:hAnsi="Arial"/>
                <w:sz w:val="14"/>
                <w:szCs w:val="14"/>
                <w:color w:val="auto"/>
              </w:rPr>
              <w:t>(Decrease)</w:t>
            </w:r>
          </w:p>
        </w:tc>
        <w:tc>
          <w:tcPr>
            <w:tcW w:w="7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0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color w:val="auto"/>
              </w:rPr>
              <w:t>2018</w:t>
            </w:r>
          </w:p>
        </w:tc>
        <w:tc>
          <w:tcPr>
            <w:tcW w:w="6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color w:val="auto"/>
                <w:w w:val="89"/>
              </w:rPr>
              <w:t>2017</w:t>
            </w:r>
          </w:p>
        </w:tc>
        <w:tc>
          <w:tcPr>
            <w:tcW w:w="6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4040" w:type="dxa"/>
            <w:vAlign w:val="bottom"/>
          </w:tcPr>
          <w:p>
            <w:pPr>
              <w:ind w:left="380"/>
              <w:spacing w:after="0"/>
              <w:rPr>
                <w:sz w:val="20"/>
                <w:szCs w:val="20"/>
                <w:color w:val="auto"/>
              </w:rPr>
            </w:pPr>
            <w:r>
              <w:rPr>
                <w:rFonts w:ascii="Arial" w:cs="Arial" w:eastAsia="Arial" w:hAnsi="Arial"/>
                <w:sz w:val="18"/>
                <w:szCs w:val="18"/>
                <w:color w:val="auto"/>
              </w:rPr>
              <w:t>Residential:</w:t>
            </w: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040" w:type="dxa"/>
            <w:vAlign w:val="bottom"/>
          </w:tcPr>
          <w:p>
            <w:pPr>
              <w:ind w:left="700"/>
              <w:spacing w:after="0"/>
              <w:rPr>
                <w:sz w:val="20"/>
                <w:szCs w:val="20"/>
                <w:color w:val="auto"/>
              </w:rPr>
            </w:pPr>
            <w:r>
              <w:rPr>
                <w:rFonts w:ascii="Arial" w:cs="Arial" w:eastAsia="Arial" w:hAnsi="Arial"/>
                <w:sz w:val="18"/>
                <w:szCs w:val="18"/>
                <w:color w:val="auto"/>
              </w:rPr>
              <w:t>Video</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11,287</w:t>
            </w:r>
          </w:p>
        </w:tc>
        <w:tc>
          <w:tcPr>
            <w:tcW w:w="620" w:type="dxa"/>
            <w:vAlign w:val="bottom"/>
          </w:tcPr>
          <w:p>
            <w:pPr>
              <w:ind w:lef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11,446</w:t>
            </w:r>
          </w:p>
        </w:tc>
        <w:tc>
          <w:tcPr>
            <w:tcW w:w="60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(159)</w:t>
            </w:r>
          </w:p>
        </w:tc>
        <w:tc>
          <w:tcPr>
            <w:tcW w:w="10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040" w:type="dxa"/>
            <w:vAlign w:val="bottom"/>
          </w:tcPr>
          <w:p>
            <w:pPr>
              <w:ind w:left="700"/>
              <w:spacing w:after="0"/>
              <w:rPr>
                <w:sz w:val="20"/>
                <w:szCs w:val="20"/>
                <w:color w:val="auto"/>
              </w:rPr>
            </w:pPr>
            <w:r>
              <w:rPr>
                <w:rFonts w:ascii="Arial" w:cs="Arial" w:eastAsia="Arial" w:hAnsi="Arial"/>
                <w:sz w:val="18"/>
                <w:szCs w:val="18"/>
                <w:color w:val="auto"/>
              </w:rPr>
              <w:t>High-speed Internet</w:t>
            </w: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8,419</w:t>
            </w:r>
          </w:p>
        </w:tc>
        <w:tc>
          <w:tcPr>
            <w:tcW w:w="6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7,740</w:t>
            </w:r>
          </w:p>
        </w:tc>
        <w:tc>
          <w:tcPr>
            <w:tcW w:w="60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679</w:t>
            </w:r>
          </w:p>
        </w:tc>
        <w:tc>
          <w:tcPr>
            <w:tcW w:w="1000" w:type="dxa"/>
            <w:vAlign w:val="bottom"/>
          </w:tcPr>
          <w:p>
            <w:pPr>
              <w:spacing w:after="0"/>
              <w:rPr>
                <w:sz w:val="23"/>
                <w:szCs w:val="23"/>
                <w:color w:val="auto"/>
              </w:rPr>
            </w:pPr>
          </w:p>
        </w:tc>
        <w:tc>
          <w:tcPr>
            <w:tcW w:w="700" w:type="dxa"/>
            <w:vAlign w:val="bottom"/>
          </w:tcPr>
          <w:p>
            <w:pPr>
              <w:jc w:val="right"/>
              <w:ind w:right="191"/>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040" w:type="dxa"/>
            <w:vAlign w:val="bottom"/>
          </w:tcPr>
          <w:p>
            <w:pPr>
              <w:ind w:left="700"/>
              <w:spacing w:after="0"/>
              <w:rPr>
                <w:sz w:val="20"/>
                <w:szCs w:val="20"/>
                <w:color w:val="auto"/>
              </w:rPr>
            </w:pPr>
            <w:r>
              <w:rPr>
                <w:rFonts w:ascii="Arial" w:cs="Arial" w:eastAsia="Arial" w:hAnsi="Arial"/>
                <w:sz w:val="18"/>
                <w:szCs w:val="18"/>
                <w:color w:val="auto"/>
              </w:rPr>
              <w:t>Voice</w:t>
            </w: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2,000</w:t>
            </w:r>
          </w:p>
        </w:tc>
        <w:tc>
          <w:tcPr>
            <w:tcW w:w="6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2,068</w:t>
            </w:r>
          </w:p>
        </w:tc>
        <w:tc>
          <w:tcPr>
            <w:tcW w:w="6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w:t>
            </w:r>
          </w:p>
        </w:tc>
        <w:tc>
          <w:tcPr>
            <w:tcW w:w="1000" w:type="dxa"/>
            <w:vAlign w:val="bottom"/>
          </w:tcPr>
          <w:p>
            <w:pPr>
              <w:spacing w:after="0"/>
              <w:rPr>
                <w:sz w:val="23"/>
                <w:szCs w:val="23"/>
                <w:color w:val="auto"/>
              </w:rPr>
            </w:pPr>
          </w:p>
        </w:tc>
        <w:tc>
          <w:tcPr>
            <w:tcW w:w="700" w:type="dxa"/>
            <w:vAlign w:val="bottom"/>
          </w:tcPr>
          <w:p>
            <w:pPr>
              <w:jc w:val="right"/>
              <w:ind w:right="131"/>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040" w:type="dxa"/>
            <w:vAlign w:val="bottom"/>
          </w:tcPr>
          <w:p>
            <w:pPr>
              <w:ind w:left="380"/>
              <w:spacing w:after="0"/>
              <w:rPr>
                <w:sz w:val="20"/>
                <w:szCs w:val="20"/>
                <w:color w:val="auto"/>
              </w:rPr>
            </w:pPr>
            <w:r>
              <w:rPr>
                <w:rFonts w:ascii="Arial" w:cs="Arial" w:eastAsia="Arial" w:hAnsi="Arial"/>
                <w:sz w:val="18"/>
                <w:szCs w:val="18"/>
                <w:color w:val="auto"/>
              </w:rPr>
              <w:t>Business services</w:t>
            </w: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3,487</w:t>
            </w:r>
          </w:p>
        </w:tc>
        <w:tc>
          <w:tcPr>
            <w:tcW w:w="6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3,128</w:t>
            </w:r>
          </w:p>
        </w:tc>
        <w:tc>
          <w:tcPr>
            <w:tcW w:w="60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359</w:t>
            </w:r>
          </w:p>
        </w:tc>
        <w:tc>
          <w:tcPr>
            <w:tcW w:w="1000" w:type="dxa"/>
            <w:vAlign w:val="bottom"/>
          </w:tcPr>
          <w:p>
            <w:pPr>
              <w:spacing w:after="0"/>
              <w:rPr>
                <w:sz w:val="23"/>
                <w:szCs w:val="23"/>
                <w:color w:val="auto"/>
              </w:rPr>
            </w:pPr>
          </w:p>
        </w:tc>
        <w:tc>
          <w:tcPr>
            <w:tcW w:w="700" w:type="dxa"/>
            <w:vAlign w:val="bottom"/>
          </w:tcPr>
          <w:p>
            <w:pPr>
              <w:jc w:val="right"/>
              <w:ind w:right="191"/>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04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1,248</w:t>
            </w:r>
          </w:p>
        </w:tc>
        <w:tc>
          <w:tcPr>
            <w:tcW w:w="6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1,180</w:t>
            </w:r>
          </w:p>
        </w:tc>
        <w:tc>
          <w:tcPr>
            <w:tcW w:w="60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68</w:t>
            </w:r>
          </w:p>
        </w:tc>
        <w:tc>
          <w:tcPr>
            <w:tcW w:w="1000" w:type="dxa"/>
            <w:vAlign w:val="bottom"/>
          </w:tcPr>
          <w:p>
            <w:pPr>
              <w:spacing w:after="0"/>
              <w:rPr>
                <w:sz w:val="23"/>
                <w:szCs w:val="23"/>
                <w:color w:val="auto"/>
              </w:rPr>
            </w:pPr>
          </w:p>
        </w:tc>
        <w:tc>
          <w:tcPr>
            <w:tcW w:w="700" w:type="dxa"/>
            <w:vAlign w:val="bottom"/>
          </w:tcPr>
          <w:p>
            <w:pPr>
              <w:jc w:val="right"/>
              <w:ind w:right="191"/>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040" w:type="dxa"/>
            <w:vAlign w:val="bottom"/>
          </w:tcPr>
          <w:p>
            <w:pPr>
              <w:ind w:left="380"/>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787</w:t>
            </w:r>
          </w:p>
        </w:tc>
        <w:tc>
          <w:tcPr>
            <w:tcW w:w="6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745</w:t>
            </w:r>
          </w:p>
        </w:tc>
        <w:tc>
          <w:tcPr>
            <w:tcW w:w="60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42</w:t>
            </w:r>
          </w:p>
        </w:tc>
        <w:tc>
          <w:tcPr>
            <w:tcW w:w="1000" w:type="dxa"/>
            <w:vAlign w:val="bottom"/>
          </w:tcPr>
          <w:p>
            <w:pPr>
              <w:spacing w:after="0"/>
              <w:rPr>
                <w:sz w:val="23"/>
                <w:szCs w:val="23"/>
                <w:color w:val="auto"/>
              </w:rPr>
            </w:pPr>
          </w:p>
        </w:tc>
        <w:tc>
          <w:tcPr>
            <w:tcW w:w="700" w:type="dxa"/>
            <w:vAlign w:val="bottom"/>
          </w:tcPr>
          <w:p>
            <w:pPr>
              <w:jc w:val="right"/>
              <w:ind w:right="191"/>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73"/>
              <w:spacing w:after="0"/>
              <w:rPr>
                <w:sz w:val="20"/>
                <w:szCs w:val="20"/>
                <w:color w:val="auto"/>
              </w:rPr>
            </w:pPr>
            <w:r>
              <w:rPr>
                <w:rFonts w:ascii="Arial" w:cs="Arial" w:eastAsia="Arial" w:hAnsi="Arial"/>
                <w:sz w:val="18"/>
                <w:szCs w:val="18"/>
                <w:b w:val="1"/>
                <w:bCs w:val="1"/>
                <w:color w:val="auto"/>
              </w:rPr>
              <w:t>27,228</w:t>
            </w:r>
          </w:p>
        </w:tc>
        <w:tc>
          <w:tcPr>
            <w:tcW w:w="6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26,307</w:t>
            </w:r>
          </w:p>
        </w:tc>
        <w:tc>
          <w:tcPr>
            <w:tcW w:w="60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b w:val="1"/>
                <w:bCs w:val="1"/>
                <w:color w:val="auto"/>
              </w:rPr>
              <w:t>921</w:t>
            </w:r>
          </w:p>
        </w:tc>
        <w:tc>
          <w:tcPr>
            <w:tcW w:w="1000" w:type="dxa"/>
            <w:vAlign w:val="bottom"/>
          </w:tcPr>
          <w:p>
            <w:pPr>
              <w:spacing w:after="0"/>
              <w:rPr>
                <w:sz w:val="20"/>
                <w:szCs w:val="20"/>
                <w:color w:val="auto"/>
              </w:rPr>
            </w:pPr>
          </w:p>
        </w:tc>
        <w:tc>
          <w:tcPr>
            <w:tcW w:w="700" w:type="dxa"/>
            <w:vAlign w:val="bottom"/>
          </w:tcPr>
          <w:p>
            <w:pPr>
              <w:jc w:val="right"/>
              <w:ind w:right="191"/>
              <w:spacing w:after="0"/>
              <w:rPr>
                <w:sz w:val="20"/>
                <w:szCs w:val="20"/>
                <w:color w:val="auto"/>
              </w:rPr>
            </w:pPr>
            <w:r>
              <w:rPr>
                <w:rFonts w:ascii="Arial" w:cs="Arial" w:eastAsia="Arial" w:hAnsi="Arial"/>
                <w:sz w:val="18"/>
                <w:szCs w:val="18"/>
                <w:b w:val="1"/>
                <w:bCs w:val="1"/>
                <w:color w:val="auto"/>
              </w:rPr>
              <w:t>3.5</w:t>
            </w:r>
          </w:p>
        </w:tc>
        <w:tc>
          <w:tcPr>
            <w:tcW w:w="2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040" w:type="dxa"/>
            <w:vAlign w:val="bottom"/>
          </w:tcPr>
          <w:p>
            <w:pPr>
              <w:ind w:left="380"/>
              <w:spacing w:after="0"/>
              <w:rPr>
                <w:sz w:val="20"/>
                <w:szCs w:val="20"/>
                <w:color w:val="auto"/>
              </w:rPr>
            </w:pPr>
            <w:r>
              <w:rPr>
                <w:rFonts w:ascii="Arial" w:cs="Arial" w:eastAsia="Arial" w:hAnsi="Arial"/>
                <w:sz w:val="18"/>
                <w:szCs w:val="18"/>
                <w:color w:val="auto"/>
              </w:rPr>
              <w:t>Programming</w:t>
            </w: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6,638</w:t>
            </w:r>
          </w:p>
        </w:tc>
        <w:tc>
          <w:tcPr>
            <w:tcW w:w="6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6,434</w:t>
            </w:r>
          </w:p>
        </w:tc>
        <w:tc>
          <w:tcPr>
            <w:tcW w:w="60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204</w:t>
            </w:r>
          </w:p>
        </w:tc>
        <w:tc>
          <w:tcPr>
            <w:tcW w:w="1000" w:type="dxa"/>
            <w:vAlign w:val="bottom"/>
          </w:tcPr>
          <w:p>
            <w:pPr>
              <w:spacing w:after="0"/>
              <w:rPr>
                <w:sz w:val="23"/>
                <w:szCs w:val="23"/>
                <w:color w:val="auto"/>
              </w:rPr>
            </w:pPr>
          </w:p>
        </w:tc>
        <w:tc>
          <w:tcPr>
            <w:tcW w:w="700" w:type="dxa"/>
            <w:vAlign w:val="bottom"/>
          </w:tcPr>
          <w:p>
            <w:pPr>
              <w:jc w:val="right"/>
              <w:ind w:right="191"/>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040" w:type="dxa"/>
            <w:vAlign w:val="bottom"/>
          </w:tcPr>
          <w:p>
            <w:pPr>
              <w:ind w:left="380"/>
              <w:spacing w:after="0"/>
              <w:rPr>
                <w:sz w:val="20"/>
                <w:szCs w:val="20"/>
                <w:color w:val="auto"/>
              </w:rPr>
            </w:pPr>
            <w:r>
              <w:rPr>
                <w:rFonts w:ascii="Arial" w:cs="Arial" w:eastAsia="Arial" w:hAnsi="Arial"/>
                <w:sz w:val="18"/>
                <w:szCs w:val="18"/>
                <w:color w:val="auto"/>
              </w:rPr>
              <w:t>Technical and product support</w:t>
            </w: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3,199</w:t>
            </w:r>
          </w:p>
        </w:tc>
        <w:tc>
          <w:tcPr>
            <w:tcW w:w="6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3,079</w:t>
            </w:r>
          </w:p>
        </w:tc>
        <w:tc>
          <w:tcPr>
            <w:tcW w:w="60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120</w:t>
            </w:r>
          </w:p>
        </w:tc>
        <w:tc>
          <w:tcPr>
            <w:tcW w:w="1000" w:type="dxa"/>
            <w:vAlign w:val="bottom"/>
          </w:tcPr>
          <w:p>
            <w:pPr>
              <w:spacing w:after="0"/>
              <w:rPr>
                <w:sz w:val="23"/>
                <w:szCs w:val="23"/>
                <w:color w:val="auto"/>
              </w:rPr>
            </w:pPr>
          </w:p>
        </w:tc>
        <w:tc>
          <w:tcPr>
            <w:tcW w:w="700" w:type="dxa"/>
            <w:vAlign w:val="bottom"/>
          </w:tcPr>
          <w:p>
            <w:pPr>
              <w:jc w:val="right"/>
              <w:ind w:right="191"/>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040" w:type="dxa"/>
            <w:vAlign w:val="bottom"/>
          </w:tcPr>
          <w:p>
            <w:pPr>
              <w:ind w:left="380"/>
              <w:spacing w:after="0"/>
              <w:rPr>
                <w:sz w:val="20"/>
                <w:szCs w:val="20"/>
                <w:color w:val="auto"/>
              </w:rPr>
            </w:pPr>
            <w:r>
              <w:rPr>
                <w:rFonts w:ascii="Arial" w:cs="Arial" w:eastAsia="Arial" w:hAnsi="Arial"/>
                <w:sz w:val="18"/>
                <w:szCs w:val="18"/>
                <w:color w:val="auto"/>
              </w:rPr>
              <w:t>Customer service</w:t>
            </w: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1,207</w:t>
            </w:r>
          </w:p>
        </w:tc>
        <w:tc>
          <w:tcPr>
            <w:tcW w:w="6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1,224</w:t>
            </w:r>
          </w:p>
        </w:tc>
        <w:tc>
          <w:tcPr>
            <w:tcW w:w="6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1000" w:type="dxa"/>
            <w:vAlign w:val="bottom"/>
          </w:tcPr>
          <w:p>
            <w:pPr>
              <w:spacing w:after="0"/>
              <w:rPr>
                <w:sz w:val="23"/>
                <w:szCs w:val="23"/>
                <w:color w:val="auto"/>
              </w:rPr>
            </w:pPr>
          </w:p>
        </w:tc>
        <w:tc>
          <w:tcPr>
            <w:tcW w:w="700" w:type="dxa"/>
            <w:vAlign w:val="bottom"/>
          </w:tcPr>
          <w:p>
            <w:pPr>
              <w:jc w:val="right"/>
              <w:ind w:right="131"/>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04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1,867</w:t>
            </w:r>
          </w:p>
        </w:tc>
        <w:tc>
          <w:tcPr>
            <w:tcW w:w="6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1,827</w:t>
            </w:r>
          </w:p>
        </w:tc>
        <w:tc>
          <w:tcPr>
            <w:tcW w:w="60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40</w:t>
            </w:r>
          </w:p>
        </w:tc>
        <w:tc>
          <w:tcPr>
            <w:tcW w:w="1000" w:type="dxa"/>
            <w:vAlign w:val="bottom"/>
          </w:tcPr>
          <w:p>
            <w:pPr>
              <w:spacing w:after="0"/>
              <w:rPr>
                <w:sz w:val="23"/>
                <w:szCs w:val="23"/>
                <w:color w:val="auto"/>
              </w:rPr>
            </w:pPr>
          </w:p>
        </w:tc>
        <w:tc>
          <w:tcPr>
            <w:tcW w:w="700" w:type="dxa"/>
            <w:vAlign w:val="bottom"/>
          </w:tcPr>
          <w:p>
            <w:pPr>
              <w:jc w:val="right"/>
              <w:ind w:right="191"/>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040" w:type="dxa"/>
            <w:vAlign w:val="bottom"/>
          </w:tcPr>
          <w:p>
            <w:pPr>
              <w:ind w:left="380"/>
              <w:spacing w:after="0"/>
              <w:rPr>
                <w:sz w:val="20"/>
                <w:szCs w:val="20"/>
                <w:color w:val="auto"/>
              </w:rPr>
            </w:pPr>
            <w:r>
              <w:rPr>
                <w:rFonts w:ascii="Arial" w:cs="Arial" w:eastAsia="Arial" w:hAnsi="Arial"/>
                <w:sz w:val="18"/>
                <w:szCs w:val="18"/>
                <w:color w:val="auto"/>
              </w:rPr>
              <w:t>Franchise and other regulatory fees</w:t>
            </w: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789</w:t>
            </w:r>
          </w:p>
        </w:tc>
        <w:tc>
          <w:tcPr>
            <w:tcW w:w="6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798</w:t>
            </w:r>
          </w:p>
        </w:tc>
        <w:tc>
          <w:tcPr>
            <w:tcW w:w="6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1000" w:type="dxa"/>
            <w:vAlign w:val="bottom"/>
          </w:tcPr>
          <w:p>
            <w:pPr>
              <w:spacing w:after="0"/>
              <w:rPr>
                <w:sz w:val="23"/>
                <w:szCs w:val="23"/>
                <w:color w:val="auto"/>
              </w:rPr>
            </w:pPr>
          </w:p>
        </w:tc>
        <w:tc>
          <w:tcPr>
            <w:tcW w:w="700" w:type="dxa"/>
            <w:vAlign w:val="bottom"/>
          </w:tcPr>
          <w:p>
            <w:pPr>
              <w:jc w:val="right"/>
              <w:ind w:right="131"/>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040" w:type="dxa"/>
            <w:vAlign w:val="bottom"/>
          </w:tcPr>
          <w:p>
            <w:pPr>
              <w:ind w:left="380"/>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2,475</w:t>
            </w:r>
          </w:p>
        </w:tc>
        <w:tc>
          <w:tcPr>
            <w:tcW w:w="6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2,478</w:t>
            </w:r>
          </w:p>
        </w:tc>
        <w:tc>
          <w:tcPr>
            <w:tcW w:w="6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000" w:type="dxa"/>
            <w:vAlign w:val="bottom"/>
          </w:tcPr>
          <w:p>
            <w:pPr>
              <w:spacing w:after="0"/>
              <w:rPr>
                <w:sz w:val="23"/>
                <w:szCs w:val="23"/>
                <w:color w:val="auto"/>
              </w:rPr>
            </w:pPr>
          </w:p>
        </w:tc>
        <w:tc>
          <w:tcPr>
            <w:tcW w:w="700" w:type="dxa"/>
            <w:vAlign w:val="bottom"/>
          </w:tcPr>
          <w:p>
            <w:pPr>
              <w:jc w:val="right"/>
              <w:ind w:right="131"/>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Total operating costs and expenses</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16,175</w:t>
            </w:r>
          </w:p>
        </w:tc>
        <w:tc>
          <w:tcPr>
            <w:tcW w:w="6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15,840</w:t>
            </w:r>
          </w:p>
        </w:tc>
        <w:tc>
          <w:tcPr>
            <w:tcW w:w="60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335</w:t>
            </w:r>
          </w:p>
        </w:tc>
        <w:tc>
          <w:tcPr>
            <w:tcW w:w="1000" w:type="dxa"/>
            <w:vAlign w:val="bottom"/>
          </w:tcPr>
          <w:p>
            <w:pPr>
              <w:spacing w:after="0"/>
              <w:rPr>
                <w:sz w:val="20"/>
                <w:szCs w:val="20"/>
                <w:color w:val="auto"/>
              </w:rPr>
            </w:pPr>
          </w:p>
        </w:tc>
        <w:tc>
          <w:tcPr>
            <w:tcW w:w="700" w:type="dxa"/>
            <w:vAlign w:val="bottom"/>
          </w:tcPr>
          <w:p>
            <w:pPr>
              <w:jc w:val="right"/>
              <w:ind w:right="191"/>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ind w:right="73"/>
              <w:spacing w:after="0"/>
              <w:rPr>
                <w:sz w:val="20"/>
                <w:szCs w:val="20"/>
                <w:color w:val="auto"/>
              </w:rPr>
            </w:pPr>
            <w:r>
              <w:rPr>
                <w:rFonts w:ascii="Arial" w:cs="Arial" w:eastAsia="Arial" w:hAnsi="Arial"/>
                <w:sz w:val="18"/>
                <w:szCs w:val="18"/>
                <w:b w:val="1"/>
                <w:bCs w:val="1"/>
                <w:color w:val="auto"/>
              </w:rPr>
              <w:t>11,053</w:t>
            </w:r>
          </w:p>
        </w:tc>
        <w:tc>
          <w:tcPr>
            <w:tcW w:w="62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10,467</w:t>
            </w:r>
          </w:p>
        </w:tc>
        <w:tc>
          <w:tcPr>
            <w:tcW w:w="600" w:type="dxa"/>
            <w:vAlign w:val="bottom"/>
          </w:tcPr>
          <w:p>
            <w:pPr>
              <w:jc w:val="right"/>
              <w:ind w:right="191"/>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b w:val="1"/>
                <w:bCs w:val="1"/>
                <w:color w:val="auto"/>
              </w:rPr>
              <w:t>586</w:t>
            </w:r>
          </w:p>
        </w:tc>
        <w:tc>
          <w:tcPr>
            <w:tcW w:w="10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5.6 %</w:t>
            </w:r>
          </w:p>
        </w:tc>
        <w:tc>
          <w:tcPr>
            <w:tcW w:w="20" w:type="dxa"/>
            <w:vAlign w:val="bottom"/>
          </w:tcPr>
          <w:p>
            <w:pPr>
              <w:spacing w:after="0"/>
              <w:rPr>
                <w:sz w:val="20"/>
                <w:szCs w:val="20"/>
                <w:color w:val="auto"/>
              </w:rPr>
            </w:pPr>
          </w:p>
        </w:tc>
      </w:tr>
      <w:tr>
        <w:trPr>
          <w:trHeight w:val="34"/>
        </w:trPr>
        <w:tc>
          <w:tcPr>
            <w:tcW w:w="4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486"/>
        </w:trPr>
        <w:tc>
          <w:tcPr>
            <w:tcW w:w="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520" w:type="dxa"/>
            <w:vAlign w:val="bottom"/>
            <w:gridSpan w:val="3"/>
          </w:tcPr>
          <w:p>
            <w:pPr>
              <w:jc w:val="right"/>
              <w:ind w:right="33"/>
              <w:spacing w:after="0"/>
              <w:rPr>
                <w:sz w:val="20"/>
                <w:szCs w:val="20"/>
                <w:color w:val="auto"/>
              </w:rPr>
            </w:pPr>
            <w:r>
              <w:rPr>
                <w:rFonts w:ascii="Arial" w:cs="Arial" w:eastAsia="Arial" w:hAnsi="Arial"/>
                <w:sz w:val="18"/>
                <w:szCs w:val="18"/>
                <w:b w:val="1"/>
                <w:bCs w:val="1"/>
                <w:color w:val="auto"/>
              </w:rPr>
              <w:t>Customer Metrics</w:t>
            </w: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2"/>
        </w:trPr>
        <w:tc>
          <w:tcPr>
            <w:tcW w:w="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tcBorders>
              <w:bottom w:val="single" w:sz="8" w:color="auto"/>
            </w:tcBorders>
            <w:gridSpan w:val="2"/>
          </w:tcPr>
          <w:p>
            <w:pPr>
              <w:jc w:val="right"/>
              <w:ind w:right="351"/>
              <w:spacing w:after="0"/>
              <w:rPr>
                <w:sz w:val="20"/>
                <w:szCs w:val="20"/>
                <w:color w:val="auto"/>
              </w:rPr>
            </w:pPr>
            <w:r>
              <w:rPr>
                <w:rFonts w:ascii="Arial" w:cs="Arial" w:eastAsia="Arial" w:hAnsi="Arial"/>
                <w:sz w:val="14"/>
                <w:szCs w:val="14"/>
                <w:color w:val="auto"/>
              </w:rPr>
              <w:t>Total Customers</w:t>
            </w:r>
          </w:p>
        </w:tc>
        <w:tc>
          <w:tcPr>
            <w:tcW w:w="8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2"/>
          </w:tcPr>
          <w:p>
            <w:pPr>
              <w:jc w:val="right"/>
              <w:ind w:right="474"/>
              <w:spacing w:after="0"/>
              <w:rPr>
                <w:sz w:val="20"/>
                <w:szCs w:val="20"/>
                <w:color w:val="auto"/>
              </w:rPr>
            </w:pPr>
            <w:r>
              <w:rPr>
                <w:rFonts w:ascii="Arial" w:cs="Arial" w:eastAsia="Arial" w:hAnsi="Arial"/>
                <w:sz w:val="14"/>
                <w:szCs w:val="14"/>
                <w:color w:val="auto"/>
                <w:w w:val="94"/>
              </w:rPr>
              <w:t>Net Additional Customers</w:t>
            </w: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56"/>
        </w:trPr>
        <w:tc>
          <w:tcPr>
            <w:tcW w:w="4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80" w:type="dxa"/>
            <w:vAlign w:val="bottom"/>
            <w:gridSpan w:val="3"/>
          </w:tcPr>
          <w:p>
            <w:pPr>
              <w:jc w:val="right"/>
              <w:ind w:right="632"/>
              <w:spacing w:after="0" w:line="157" w:lineRule="exact"/>
              <w:rPr>
                <w:sz w:val="20"/>
                <w:szCs w:val="20"/>
                <w:color w:val="auto"/>
              </w:rPr>
            </w:pPr>
            <w:r>
              <w:rPr>
                <w:rFonts w:ascii="Arial" w:cs="Arial" w:eastAsia="Arial" w:hAnsi="Arial"/>
                <w:sz w:val="14"/>
                <w:szCs w:val="14"/>
                <w:color w:val="auto"/>
              </w:rPr>
              <w:t>Three Months Ended</w:t>
            </w:r>
          </w:p>
        </w:tc>
        <w:tc>
          <w:tcPr>
            <w:tcW w:w="1700" w:type="dxa"/>
            <w:vAlign w:val="bottom"/>
            <w:gridSpan w:val="2"/>
          </w:tcPr>
          <w:p>
            <w:pPr>
              <w:jc w:val="right"/>
              <w:ind w:right="351"/>
              <w:spacing w:after="0" w:line="157" w:lineRule="exact"/>
              <w:rPr>
                <w:sz w:val="20"/>
                <w:szCs w:val="20"/>
                <w:color w:val="auto"/>
              </w:rPr>
            </w:pPr>
            <w:r>
              <w:rPr>
                <w:rFonts w:ascii="Arial" w:cs="Arial" w:eastAsia="Arial" w:hAnsi="Arial"/>
                <w:sz w:val="14"/>
                <w:szCs w:val="14"/>
                <w:color w:val="auto"/>
              </w:rPr>
              <w:t>Six Months Ended</w:t>
            </w:r>
          </w:p>
        </w:tc>
        <w:tc>
          <w:tcPr>
            <w:tcW w:w="20" w:type="dxa"/>
            <w:vAlign w:val="bottom"/>
          </w:tcPr>
          <w:p>
            <w:pPr>
              <w:spacing w:after="0"/>
              <w:rPr>
                <w:sz w:val="13"/>
                <w:szCs w:val="13"/>
                <w:color w:val="auto"/>
              </w:rPr>
            </w:pPr>
          </w:p>
        </w:tc>
      </w:tr>
      <w:tr>
        <w:trPr>
          <w:trHeight w:val="188"/>
        </w:trPr>
        <w:tc>
          <w:tcPr>
            <w:tcW w:w="4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 30</w:t>
            </w:r>
          </w:p>
        </w:tc>
        <w:tc>
          <w:tcPr>
            <w:tcW w:w="6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 30</w:t>
            </w:r>
          </w:p>
        </w:tc>
        <w:tc>
          <w:tcPr>
            <w:tcW w:w="10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 30</w:t>
            </w:r>
          </w:p>
        </w:tc>
        <w:tc>
          <w:tcPr>
            <w:tcW w:w="7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96"/>
        </w:trPr>
        <w:tc>
          <w:tcPr>
            <w:tcW w:w="4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(in thousands, except per customer amounts)</w:t>
            </w:r>
          </w:p>
        </w:tc>
        <w:tc>
          <w:tcPr>
            <w:tcW w:w="10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2018</w:t>
            </w: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2017</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6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rPr>
              <w:t>2017</w:t>
            </w:r>
          </w:p>
        </w:tc>
        <w:tc>
          <w:tcPr>
            <w:tcW w:w="10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rPr>
              <w:t>2018</w:t>
            </w: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2017</w:t>
            </w:r>
          </w:p>
        </w:tc>
        <w:tc>
          <w:tcPr>
            <w:tcW w:w="20" w:type="dxa"/>
            <w:vAlign w:val="bottom"/>
            <w:tcBorders>
              <w:bottom w:val="single" w:sz="8" w:color="auto"/>
            </w:tcBorders>
          </w:tcPr>
          <w:p>
            <w:pPr>
              <w:spacing w:after="0"/>
              <w:rPr>
                <w:sz w:val="17"/>
                <w:szCs w:val="17"/>
                <w:color w:val="auto"/>
              </w:rPr>
            </w:pP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b w:val="1"/>
                <w:bCs w:val="1"/>
                <w:color w:val="auto"/>
              </w:rPr>
              <w:t>Customer relationships</w:t>
            </w: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Residential customer relationships</w:t>
            </w: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333"/>
              <w:spacing w:after="0"/>
              <w:rPr>
                <w:sz w:val="20"/>
                <w:szCs w:val="20"/>
                <w:color w:val="auto"/>
              </w:rPr>
            </w:pPr>
            <w:r>
              <w:rPr>
                <w:rFonts w:ascii="Arial" w:cs="Arial" w:eastAsia="Arial" w:hAnsi="Arial"/>
                <w:sz w:val="18"/>
                <w:szCs w:val="18"/>
                <w:color w:val="auto"/>
              </w:rPr>
              <w:t>27,559</w:t>
            </w:r>
          </w:p>
        </w:tc>
        <w:tc>
          <w:tcPr>
            <w:tcW w:w="620" w:type="dxa"/>
            <w:vAlign w:val="bottom"/>
          </w:tcPr>
          <w:p>
            <w:pPr>
              <w:jc w:val="right"/>
              <w:spacing w:after="0"/>
              <w:rPr>
                <w:sz w:val="20"/>
                <w:szCs w:val="20"/>
                <w:color w:val="auto"/>
              </w:rPr>
            </w:pPr>
            <w:r>
              <w:rPr>
                <w:rFonts w:ascii="Arial" w:cs="Arial" w:eastAsia="Arial" w:hAnsi="Arial"/>
                <w:sz w:val="18"/>
                <w:szCs w:val="18"/>
                <w:color w:val="auto"/>
              </w:rPr>
              <w:t>26,874</w:t>
            </w:r>
          </w:p>
        </w:tc>
        <w:tc>
          <w:tcPr>
            <w:tcW w:w="1400" w:type="dxa"/>
            <w:vAlign w:val="bottom"/>
            <w:gridSpan w:val="2"/>
          </w:tcPr>
          <w:p>
            <w:pPr>
              <w:jc w:val="right"/>
              <w:ind w:right="271"/>
              <w:spacing w:after="0"/>
              <w:rPr>
                <w:sz w:val="20"/>
                <w:szCs w:val="20"/>
                <w:color w:val="auto"/>
              </w:rPr>
            </w:pPr>
            <w:r>
              <w:rPr>
                <w:rFonts w:ascii="Arial" w:cs="Arial" w:eastAsia="Arial" w:hAnsi="Arial"/>
                <w:sz w:val="18"/>
                <w:szCs w:val="18"/>
                <w:color w:val="auto"/>
              </w:rPr>
              <w:t>147</w:t>
            </w:r>
          </w:p>
        </w:tc>
        <w:tc>
          <w:tcPr>
            <w:tcW w:w="1080" w:type="dxa"/>
            <w:vAlign w:val="bottom"/>
          </w:tcPr>
          <w:p>
            <w:pPr>
              <w:jc w:val="right"/>
              <w:ind w:right="332"/>
              <w:spacing w:after="0"/>
              <w:rPr>
                <w:sz w:val="20"/>
                <w:szCs w:val="20"/>
                <w:color w:val="auto"/>
              </w:rPr>
            </w:pPr>
            <w:r>
              <w:rPr>
                <w:rFonts w:ascii="Arial" w:cs="Arial" w:eastAsia="Arial" w:hAnsi="Arial"/>
                <w:sz w:val="18"/>
                <w:szCs w:val="18"/>
                <w:color w:val="auto"/>
              </w:rPr>
              <w:t>77</w:t>
            </w:r>
          </w:p>
        </w:tc>
        <w:tc>
          <w:tcPr>
            <w:tcW w:w="1000" w:type="dxa"/>
            <w:vAlign w:val="bottom"/>
          </w:tcPr>
          <w:p>
            <w:pPr>
              <w:jc w:val="right"/>
              <w:ind w:right="314"/>
              <w:spacing w:after="0"/>
              <w:rPr>
                <w:sz w:val="20"/>
                <w:szCs w:val="20"/>
                <w:color w:val="auto"/>
              </w:rPr>
            </w:pPr>
            <w:r>
              <w:rPr>
                <w:rFonts w:ascii="Arial" w:cs="Arial" w:eastAsia="Arial" w:hAnsi="Arial"/>
                <w:sz w:val="18"/>
                <w:szCs w:val="18"/>
                <w:color w:val="auto"/>
              </w:rPr>
              <w:t>391</w:t>
            </w:r>
          </w:p>
        </w:tc>
        <w:tc>
          <w:tcPr>
            <w:tcW w:w="700" w:type="dxa"/>
            <w:vAlign w:val="bottom"/>
          </w:tcPr>
          <w:p>
            <w:pPr>
              <w:jc w:val="right"/>
              <w:spacing w:after="0"/>
              <w:rPr>
                <w:sz w:val="20"/>
                <w:szCs w:val="20"/>
                <w:color w:val="auto"/>
              </w:rPr>
            </w:pPr>
            <w:r>
              <w:rPr>
                <w:rFonts w:ascii="Arial" w:cs="Arial" w:eastAsia="Arial" w:hAnsi="Arial"/>
                <w:sz w:val="18"/>
                <w:szCs w:val="18"/>
                <w:color w:val="auto"/>
              </w:rPr>
              <w:t>341</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Business services customer relationships</w:t>
            </w: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333"/>
              <w:spacing w:after="0"/>
              <w:rPr>
                <w:sz w:val="20"/>
                <w:szCs w:val="20"/>
                <w:color w:val="auto"/>
              </w:rPr>
            </w:pPr>
            <w:r>
              <w:rPr>
                <w:rFonts w:ascii="Arial" w:cs="Arial" w:eastAsia="Arial" w:hAnsi="Arial"/>
                <w:sz w:val="18"/>
                <w:szCs w:val="18"/>
                <w:color w:val="auto"/>
              </w:rPr>
              <w:t>2,244</w:t>
            </w:r>
          </w:p>
        </w:tc>
        <w:tc>
          <w:tcPr>
            <w:tcW w:w="620" w:type="dxa"/>
            <w:vAlign w:val="bottom"/>
          </w:tcPr>
          <w:p>
            <w:pPr>
              <w:jc w:val="right"/>
              <w:spacing w:after="0"/>
              <w:rPr>
                <w:sz w:val="20"/>
                <w:szCs w:val="20"/>
                <w:color w:val="auto"/>
              </w:rPr>
            </w:pPr>
            <w:r>
              <w:rPr>
                <w:rFonts w:ascii="Arial" w:cs="Arial" w:eastAsia="Arial" w:hAnsi="Arial"/>
                <w:sz w:val="18"/>
                <w:szCs w:val="18"/>
                <w:color w:val="auto"/>
              </w:rPr>
              <w:t>2,115</w:t>
            </w:r>
          </w:p>
        </w:tc>
        <w:tc>
          <w:tcPr>
            <w:tcW w:w="800" w:type="dxa"/>
            <w:vAlign w:val="bottom"/>
          </w:tcPr>
          <w:p>
            <w:pPr>
              <w:spacing w:after="0"/>
              <w:rPr>
                <w:sz w:val="23"/>
                <w:szCs w:val="23"/>
                <w:color w:val="auto"/>
              </w:rPr>
            </w:pPr>
          </w:p>
        </w:tc>
        <w:tc>
          <w:tcPr>
            <w:tcW w:w="600" w:type="dxa"/>
            <w:vAlign w:val="bottom"/>
          </w:tcPr>
          <w:p>
            <w:pPr>
              <w:jc w:val="right"/>
              <w:ind w:right="271"/>
              <w:spacing w:after="0"/>
              <w:rPr>
                <w:sz w:val="20"/>
                <w:szCs w:val="20"/>
                <w:color w:val="auto"/>
              </w:rPr>
            </w:pPr>
            <w:r>
              <w:rPr>
                <w:rFonts w:ascii="Arial" w:cs="Arial" w:eastAsia="Arial" w:hAnsi="Arial"/>
                <w:sz w:val="18"/>
                <w:szCs w:val="18"/>
                <w:color w:val="auto"/>
              </w:rPr>
              <w:t>36</w:t>
            </w:r>
          </w:p>
        </w:tc>
        <w:tc>
          <w:tcPr>
            <w:tcW w:w="1080" w:type="dxa"/>
            <w:vAlign w:val="bottom"/>
          </w:tcPr>
          <w:p>
            <w:pPr>
              <w:jc w:val="right"/>
              <w:ind w:right="332"/>
              <w:spacing w:after="0"/>
              <w:rPr>
                <w:sz w:val="20"/>
                <w:szCs w:val="20"/>
                <w:color w:val="auto"/>
              </w:rPr>
            </w:pPr>
            <w:r>
              <w:rPr>
                <w:rFonts w:ascii="Arial" w:cs="Arial" w:eastAsia="Arial" w:hAnsi="Arial"/>
                <w:sz w:val="18"/>
                <w:szCs w:val="18"/>
                <w:color w:val="auto"/>
              </w:rPr>
              <w:t>37</w:t>
            </w:r>
          </w:p>
        </w:tc>
        <w:tc>
          <w:tcPr>
            <w:tcW w:w="1000" w:type="dxa"/>
            <w:vAlign w:val="bottom"/>
          </w:tcPr>
          <w:p>
            <w:pPr>
              <w:jc w:val="right"/>
              <w:ind w:right="314"/>
              <w:spacing w:after="0"/>
              <w:rPr>
                <w:sz w:val="20"/>
                <w:szCs w:val="20"/>
                <w:color w:val="auto"/>
              </w:rPr>
            </w:pPr>
            <w:r>
              <w:rPr>
                <w:rFonts w:ascii="Arial" w:cs="Arial" w:eastAsia="Arial" w:hAnsi="Arial"/>
                <w:sz w:val="18"/>
                <w:szCs w:val="18"/>
                <w:color w:val="auto"/>
              </w:rPr>
              <w:t>65</w:t>
            </w:r>
          </w:p>
        </w:tc>
        <w:tc>
          <w:tcPr>
            <w:tcW w:w="70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23"/>
                <w:szCs w:val="23"/>
                <w:color w:val="auto"/>
              </w:rPr>
            </w:pPr>
          </w:p>
        </w:tc>
      </w:tr>
      <w:tr>
        <w:trPr>
          <w:trHeight w:val="270"/>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Total customer relationships</w:t>
            </w: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333"/>
              <w:spacing w:after="0"/>
              <w:rPr>
                <w:sz w:val="20"/>
                <w:szCs w:val="20"/>
                <w:color w:val="auto"/>
              </w:rPr>
            </w:pPr>
            <w:r>
              <w:rPr>
                <w:rFonts w:ascii="Arial" w:cs="Arial" w:eastAsia="Arial" w:hAnsi="Arial"/>
                <w:sz w:val="18"/>
                <w:szCs w:val="18"/>
                <w:color w:val="auto"/>
              </w:rPr>
              <w:t>29,802</w:t>
            </w:r>
          </w:p>
        </w:tc>
        <w:tc>
          <w:tcPr>
            <w:tcW w:w="620" w:type="dxa"/>
            <w:vAlign w:val="bottom"/>
          </w:tcPr>
          <w:p>
            <w:pPr>
              <w:jc w:val="right"/>
              <w:spacing w:after="0"/>
              <w:rPr>
                <w:sz w:val="20"/>
                <w:szCs w:val="20"/>
                <w:color w:val="auto"/>
              </w:rPr>
            </w:pPr>
            <w:r>
              <w:rPr>
                <w:rFonts w:ascii="Arial" w:cs="Arial" w:eastAsia="Arial" w:hAnsi="Arial"/>
                <w:sz w:val="18"/>
                <w:szCs w:val="18"/>
                <w:color w:val="auto"/>
              </w:rPr>
              <w:t>28,989</w:t>
            </w:r>
          </w:p>
        </w:tc>
        <w:tc>
          <w:tcPr>
            <w:tcW w:w="1400" w:type="dxa"/>
            <w:vAlign w:val="bottom"/>
            <w:gridSpan w:val="2"/>
          </w:tcPr>
          <w:p>
            <w:pPr>
              <w:jc w:val="right"/>
              <w:ind w:right="271"/>
              <w:spacing w:after="0"/>
              <w:rPr>
                <w:sz w:val="20"/>
                <w:szCs w:val="20"/>
                <w:color w:val="auto"/>
              </w:rPr>
            </w:pPr>
            <w:r>
              <w:rPr>
                <w:rFonts w:ascii="Arial" w:cs="Arial" w:eastAsia="Arial" w:hAnsi="Arial"/>
                <w:sz w:val="18"/>
                <w:szCs w:val="18"/>
                <w:color w:val="auto"/>
              </w:rPr>
              <w:t>182</w:t>
            </w:r>
          </w:p>
        </w:tc>
        <w:tc>
          <w:tcPr>
            <w:tcW w:w="1080" w:type="dxa"/>
            <w:vAlign w:val="bottom"/>
          </w:tcPr>
          <w:p>
            <w:pPr>
              <w:jc w:val="right"/>
              <w:ind w:right="332"/>
              <w:spacing w:after="0"/>
              <w:rPr>
                <w:sz w:val="20"/>
                <w:szCs w:val="20"/>
                <w:color w:val="auto"/>
              </w:rPr>
            </w:pPr>
            <w:r>
              <w:rPr>
                <w:rFonts w:ascii="Arial" w:cs="Arial" w:eastAsia="Arial" w:hAnsi="Arial"/>
                <w:sz w:val="18"/>
                <w:szCs w:val="18"/>
                <w:color w:val="auto"/>
              </w:rPr>
              <w:t>114</w:t>
            </w:r>
          </w:p>
        </w:tc>
        <w:tc>
          <w:tcPr>
            <w:tcW w:w="1000" w:type="dxa"/>
            <w:vAlign w:val="bottom"/>
          </w:tcPr>
          <w:p>
            <w:pPr>
              <w:jc w:val="right"/>
              <w:ind w:right="314"/>
              <w:spacing w:after="0"/>
              <w:rPr>
                <w:sz w:val="20"/>
                <w:szCs w:val="20"/>
                <w:color w:val="auto"/>
              </w:rPr>
            </w:pPr>
            <w:r>
              <w:rPr>
                <w:rFonts w:ascii="Arial" w:cs="Arial" w:eastAsia="Arial" w:hAnsi="Arial"/>
                <w:sz w:val="18"/>
                <w:szCs w:val="18"/>
                <w:color w:val="auto"/>
              </w:rPr>
              <w:t>455</w:t>
            </w:r>
          </w:p>
        </w:tc>
        <w:tc>
          <w:tcPr>
            <w:tcW w:w="700" w:type="dxa"/>
            <w:vAlign w:val="bottom"/>
          </w:tcPr>
          <w:p>
            <w:pPr>
              <w:jc w:val="right"/>
              <w:spacing w:after="0"/>
              <w:rPr>
                <w:sz w:val="20"/>
                <w:szCs w:val="20"/>
                <w:color w:val="auto"/>
              </w:rPr>
            </w:pPr>
            <w:r>
              <w:rPr>
                <w:rFonts w:ascii="Arial" w:cs="Arial" w:eastAsia="Arial" w:hAnsi="Arial"/>
                <w:sz w:val="18"/>
                <w:szCs w:val="18"/>
                <w:color w:val="auto"/>
              </w:rPr>
              <w:t>412</w:t>
            </w:r>
          </w:p>
        </w:tc>
        <w:tc>
          <w:tcPr>
            <w:tcW w:w="20" w:type="dxa"/>
            <w:vAlign w:val="bottom"/>
          </w:tcPr>
          <w:p>
            <w:pPr>
              <w:spacing w:after="0"/>
              <w:rPr>
                <w:sz w:val="23"/>
                <w:szCs w:val="23"/>
                <w:color w:val="auto"/>
              </w:rPr>
            </w:pPr>
          </w:p>
        </w:tc>
      </w:tr>
      <w:tr>
        <w:trPr>
          <w:trHeight w:val="27"/>
        </w:trPr>
        <w:tc>
          <w:tcPr>
            <w:tcW w:w="40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4080" w:type="dxa"/>
            <w:vAlign w:val="bottom"/>
            <w:gridSpan w:val="2"/>
          </w:tcPr>
          <w:p>
            <w:pPr>
              <w:ind w:left="40"/>
              <w:spacing w:after="0"/>
              <w:rPr>
                <w:sz w:val="20"/>
                <w:szCs w:val="20"/>
                <w:color w:val="auto"/>
              </w:rPr>
            </w:pPr>
            <w:r>
              <w:rPr>
                <w:rFonts w:ascii="Arial" w:cs="Arial" w:eastAsia="Arial" w:hAnsi="Arial"/>
                <w:sz w:val="18"/>
                <w:szCs w:val="18"/>
                <w:b w:val="1"/>
                <w:bCs w:val="1"/>
                <w:color w:val="auto"/>
              </w:rPr>
              <w:t>Residential customer relationships mix</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Single product customers</w:t>
            </w: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333"/>
              <w:spacing w:after="0"/>
              <w:rPr>
                <w:sz w:val="20"/>
                <w:szCs w:val="20"/>
                <w:color w:val="auto"/>
              </w:rPr>
            </w:pPr>
            <w:r>
              <w:rPr>
                <w:rFonts w:ascii="Arial" w:cs="Arial" w:eastAsia="Arial" w:hAnsi="Arial"/>
                <w:sz w:val="18"/>
                <w:szCs w:val="18"/>
                <w:color w:val="auto"/>
              </w:rPr>
              <w:t>8,628</w:t>
            </w:r>
          </w:p>
        </w:tc>
        <w:tc>
          <w:tcPr>
            <w:tcW w:w="620" w:type="dxa"/>
            <w:vAlign w:val="bottom"/>
          </w:tcPr>
          <w:p>
            <w:pPr>
              <w:jc w:val="right"/>
              <w:spacing w:after="0"/>
              <w:rPr>
                <w:sz w:val="20"/>
                <w:szCs w:val="20"/>
                <w:color w:val="auto"/>
              </w:rPr>
            </w:pPr>
            <w:r>
              <w:rPr>
                <w:rFonts w:ascii="Arial" w:cs="Arial" w:eastAsia="Arial" w:hAnsi="Arial"/>
                <w:sz w:val="18"/>
                <w:szCs w:val="18"/>
                <w:color w:val="auto"/>
              </w:rPr>
              <w:t>7,931</w:t>
            </w:r>
          </w:p>
        </w:tc>
        <w:tc>
          <w:tcPr>
            <w:tcW w:w="1400" w:type="dxa"/>
            <w:vAlign w:val="bottom"/>
            <w:gridSpan w:val="2"/>
          </w:tcPr>
          <w:p>
            <w:pPr>
              <w:jc w:val="right"/>
              <w:ind w:right="271"/>
              <w:spacing w:after="0"/>
              <w:rPr>
                <w:sz w:val="20"/>
                <w:szCs w:val="20"/>
                <w:color w:val="auto"/>
              </w:rPr>
            </w:pPr>
            <w:r>
              <w:rPr>
                <w:rFonts w:ascii="Arial" w:cs="Arial" w:eastAsia="Arial" w:hAnsi="Arial"/>
                <w:sz w:val="18"/>
                <w:szCs w:val="18"/>
                <w:color w:val="auto"/>
              </w:rPr>
              <w:t>206</w:t>
            </w:r>
          </w:p>
        </w:tc>
        <w:tc>
          <w:tcPr>
            <w:tcW w:w="1080" w:type="dxa"/>
            <w:vAlign w:val="bottom"/>
          </w:tcPr>
          <w:p>
            <w:pPr>
              <w:jc w:val="right"/>
              <w:ind w:right="332"/>
              <w:spacing w:after="0"/>
              <w:rPr>
                <w:sz w:val="20"/>
                <w:szCs w:val="20"/>
                <w:color w:val="auto"/>
              </w:rPr>
            </w:pPr>
            <w:r>
              <w:rPr>
                <w:rFonts w:ascii="Arial" w:cs="Arial" w:eastAsia="Arial" w:hAnsi="Arial"/>
                <w:sz w:val="18"/>
                <w:szCs w:val="18"/>
                <w:color w:val="auto"/>
              </w:rPr>
              <w:t>70</w:t>
            </w:r>
          </w:p>
        </w:tc>
        <w:tc>
          <w:tcPr>
            <w:tcW w:w="1000" w:type="dxa"/>
            <w:vAlign w:val="bottom"/>
          </w:tcPr>
          <w:p>
            <w:pPr>
              <w:jc w:val="right"/>
              <w:ind w:right="314"/>
              <w:spacing w:after="0"/>
              <w:rPr>
                <w:sz w:val="20"/>
                <w:szCs w:val="20"/>
                <w:color w:val="auto"/>
              </w:rPr>
            </w:pPr>
            <w:r>
              <w:rPr>
                <w:rFonts w:ascii="Arial" w:cs="Arial" w:eastAsia="Arial" w:hAnsi="Arial"/>
                <w:sz w:val="18"/>
                <w:szCs w:val="18"/>
                <w:color w:val="auto"/>
              </w:rPr>
              <w:t>432</w:t>
            </w:r>
          </w:p>
        </w:tc>
        <w:tc>
          <w:tcPr>
            <w:tcW w:w="700" w:type="dxa"/>
            <w:vAlign w:val="bottom"/>
          </w:tcPr>
          <w:p>
            <w:pPr>
              <w:jc w:val="right"/>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Double product customers</w:t>
            </w: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333"/>
              <w:spacing w:after="0"/>
              <w:rPr>
                <w:sz w:val="20"/>
                <w:szCs w:val="20"/>
                <w:color w:val="auto"/>
              </w:rPr>
            </w:pPr>
            <w:r>
              <w:rPr>
                <w:rFonts w:ascii="Arial" w:cs="Arial" w:eastAsia="Arial" w:hAnsi="Arial"/>
                <w:sz w:val="18"/>
                <w:szCs w:val="18"/>
                <w:color w:val="auto"/>
              </w:rPr>
              <w:t>9,054</w:t>
            </w:r>
          </w:p>
        </w:tc>
        <w:tc>
          <w:tcPr>
            <w:tcW w:w="620" w:type="dxa"/>
            <w:vAlign w:val="bottom"/>
          </w:tcPr>
          <w:p>
            <w:pPr>
              <w:jc w:val="right"/>
              <w:spacing w:after="0"/>
              <w:rPr>
                <w:sz w:val="20"/>
                <w:szCs w:val="20"/>
                <w:color w:val="auto"/>
              </w:rPr>
            </w:pPr>
            <w:r>
              <w:rPr>
                <w:rFonts w:ascii="Arial" w:cs="Arial" w:eastAsia="Arial" w:hAnsi="Arial"/>
                <w:sz w:val="18"/>
                <w:szCs w:val="18"/>
                <w:color w:val="auto"/>
              </w:rPr>
              <w:t>8,945</w:t>
            </w:r>
          </w:p>
        </w:tc>
        <w:tc>
          <w:tcPr>
            <w:tcW w:w="800" w:type="dxa"/>
            <w:vAlign w:val="bottom"/>
          </w:tcPr>
          <w:p>
            <w:pPr>
              <w:spacing w:after="0"/>
              <w:rPr>
                <w:sz w:val="23"/>
                <w:szCs w:val="23"/>
                <w:color w:val="auto"/>
              </w:rPr>
            </w:pPr>
          </w:p>
        </w:tc>
        <w:tc>
          <w:tcPr>
            <w:tcW w:w="600" w:type="dxa"/>
            <w:vAlign w:val="bottom"/>
          </w:tcPr>
          <w:p>
            <w:pPr>
              <w:jc w:val="right"/>
              <w:ind w:right="211"/>
              <w:spacing w:after="0"/>
              <w:rPr>
                <w:sz w:val="20"/>
                <w:szCs w:val="20"/>
                <w:color w:val="auto"/>
              </w:rPr>
            </w:pPr>
            <w:r>
              <w:rPr>
                <w:rFonts w:ascii="Arial" w:cs="Arial" w:eastAsia="Arial" w:hAnsi="Arial"/>
                <w:sz w:val="18"/>
                <w:szCs w:val="18"/>
                <w:color w:val="auto"/>
                <w:w w:val="87"/>
              </w:rPr>
              <w:t>(63)</w:t>
            </w:r>
          </w:p>
        </w:tc>
        <w:tc>
          <w:tcPr>
            <w:tcW w:w="1080" w:type="dxa"/>
            <w:vAlign w:val="bottom"/>
          </w:tcPr>
          <w:p>
            <w:pPr>
              <w:jc w:val="right"/>
              <w:ind w:right="332"/>
              <w:spacing w:after="0"/>
              <w:rPr>
                <w:sz w:val="20"/>
                <w:szCs w:val="20"/>
                <w:color w:val="auto"/>
              </w:rPr>
            </w:pPr>
            <w:r>
              <w:rPr>
                <w:rFonts w:ascii="Arial" w:cs="Arial" w:eastAsia="Arial" w:hAnsi="Arial"/>
                <w:sz w:val="18"/>
                <w:szCs w:val="18"/>
                <w:color w:val="auto"/>
              </w:rPr>
              <w:t>8</w:t>
            </w:r>
          </w:p>
        </w:tc>
        <w:tc>
          <w:tcPr>
            <w:tcW w:w="1000" w:type="dxa"/>
            <w:vAlign w:val="bottom"/>
          </w:tcPr>
          <w:p>
            <w:pPr>
              <w:jc w:val="right"/>
              <w:ind w:right="254"/>
              <w:spacing w:after="0"/>
              <w:rPr>
                <w:sz w:val="20"/>
                <w:szCs w:val="20"/>
                <w:color w:val="auto"/>
              </w:rPr>
            </w:pPr>
            <w:r>
              <w:rPr>
                <w:rFonts w:ascii="Arial" w:cs="Arial" w:eastAsia="Arial" w:hAnsi="Arial"/>
                <w:sz w:val="18"/>
                <w:szCs w:val="18"/>
                <w:color w:val="auto"/>
              </w:rPr>
              <w:t>(3)</w:t>
            </w:r>
          </w:p>
        </w:tc>
        <w:tc>
          <w:tcPr>
            <w:tcW w:w="700" w:type="dxa"/>
            <w:vAlign w:val="bottom"/>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Triple and quad product customers</w:t>
            </w: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333"/>
              <w:spacing w:after="0"/>
              <w:rPr>
                <w:sz w:val="20"/>
                <w:szCs w:val="20"/>
                <w:color w:val="auto"/>
              </w:rPr>
            </w:pPr>
            <w:r>
              <w:rPr>
                <w:rFonts w:ascii="Arial" w:cs="Arial" w:eastAsia="Arial" w:hAnsi="Arial"/>
                <w:sz w:val="18"/>
                <w:szCs w:val="18"/>
                <w:color w:val="auto"/>
              </w:rPr>
              <w:t>9,877</w:t>
            </w:r>
          </w:p>
        </w:tc>
        <w:tc>
          <w:tcPr>
            <w:tcW w:w="620" w:type="dxa"/>
            <w:vAlign w:val="bottom"/>
          </w:tcPr>
          <w:p>
            <w:pPr>
              <w:jc w:val="right"/>
              <w:spacing w:after="0"/>
              <w:rPr>
                <w:sz w:val="20"/>
                <w:szCs w:val="20"/>
                <w:color w:val="auto"/>
              </w:rPr>
            </w:pPr>
            <w:r>
              <w:rPr>
                <w:rFonts w:ascii="Arial" w:cs="Arial" w:eastAsia="Arial" w:hAnsi="Arial"/>
                <w:sz w:val="18"/>
                <w:szCs w:val="18"/>
                <w:color w:val="auto"/>
              </w:rPr>
              <w:t>9,998</w:t>
            </w:r>
          </w:p>
        </w:tc>
        <w:tc>
          <w:tcPr>
            <w:tcW w:w="800" w:type="dxa"/>
            <w:vAlign w:val="bottom"/>
          </w:tcPr>
          <w:p>
            <w:pPr>
              <w:spacing w:after="0"/>
              <w:rPr>
                <w:sz w:val="23"/>
                <w:szCs w:val="23"/>
                <w:color w:val="auto"/>
              </w:rPr>
            </w:pPr>
          </w:p>
        </w:tc>
        <w:tc>
          <w:tcPr>
            <w:tcW w:w="600" w:type="dxa"/>
            <w:vAlign w:val="bottom"/>
          </w:tcPr>
          <w:p>
            <w:pPr>
              <w:jc w:val="right"/>
              <w:ind w:right="271"/>
              <w:spacing w:after="0"/>
              <w:rPr>
                <w:sz w:val="20"/>
                <w:szCs w:val="20"/>
                <w:color w:val="auto"/>
              </w:rPr>
            </w:pPr>
            <w:r>
              <w:rPr>
                <w:rFonts w:ascii="Arial" w:cs="Arial" w:eastAsia="Arial" w:hAnsi="Arial"/>
                <w:sz w:val="18"/>
                <w:szCs w:val="18"/>
                <w:color w:val="auto"/>
              </w:rPr>
              <w:t>4</w:t>
            </w:r>
          </w:p>
        </w:tc>
        <w:tc>
          <w:tcPr>
            <w:tcW w:w="108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54"/>
              <w:spacing w:after="0"/>
              <w:rPr>
                <w:sz w:val="20"/>
                <w:szCs w:val="20"/>
                <w:color w:val="auto"/>
              </w:rPr>
            </w:pPr>
            <w:r>
              <w:rPr>
                <w:rFonts w:ascii="Arial" w:cs="Arial" w:eastAsia="Arial" w:hAnsi="Arial"/>
                <w:sz w:val="18"/>
                <w:szCs w:val="18"/>
                <w:color w:val="auto"/>
              </w:rPr>
              <w:t>(39)</w:t>
            </w: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3"/>
                <w:szCs w:val="23"/>
                <w:color w:val="auto"/>
              </w:rPr>
            </w:pPr>
          </w:p>
        </w:tc>
      </w:tr>
      <w:tr>
        <w:trPr>
          <w:trHeight w:val="27"/>
        </w:trPr>
        <w:tc>
          <w:tcPr>
            <w:tcW w:w="40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4080" w:type="dxa"/>
            <w:vAlign w:val="bottom"/>
            <w:gridSpan w:val="2"/>
          </w:tcPr>
          <w:p>
            <w:pPr>
              <w:ind w:left="40"/>
              <w:spacing w:after="0"/>
              <w:rPr>
                <w:sz w:val="20"/>
                <w:szCs w:val="20"/>
                <w:color w:val="auto"/>
              </w:rPr>
            </w:pPr>
            <w:r>
              <w:rPr>
                <w:rFonts w:ascii="Arial" w:cs="Arial" w:eastAsia="Arial" w:hAnsi="Arial"/>
                <w:sz w:val="18"/>
                <w:szCs w:val="18"/>
                <w:b w:val="1"/>
                <w:bCs w:val="1"/>
                <w:color w:val="auto"/>
              </w:rPr>
              <w:t>Video</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Residential customers</w:t>
            </w: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333"/>
              <w:spacing w:after="0"/>
              <w:rPr>
                <w:sz w:val="20"/>
                <w:szCs w:val="20"/>
                <w:color w:val="auto"/>
              </w:rPr>
            </w:pPr>
            <w:r>
              <w:rPr>
                <w:rFonts w:ascii="Arial" w:cs="Arial" w:eastAsia="Arial" w:hAnsi="Arial"/>
                <w:sz w:val="18"/>
                <w:szCs w:val="18"/>
                <w:color w:val="auto"/>
              </w:rPr>
              <w:t>21,074</w:t>
            </w:r>
          </w:p>
        </w:tc>
        <w:tc>
          <w:tcPr>
            <w:tcW w:w="620" w:type="dxa"/>
            <w:vAlign w:val="bottom"/>
          </w:tcPr>
          <w:p>
            <w:pPr>
              <w:jc w:val="right"/>
              <w:spacing w:after="0"/>
              <w:rPr>
                <w:sz w:val="20"/>
                <w:szCs w:val="20"/>
                <w:color w:val="auto"/>
              </w:rPr>
            </w:pPr>
            <w:r>
              <w:rPr>
                <w:rFonts w:ascii="Arial" w:cs="Arial" w:eastAsia="Arial" w:hAnsi="Arial"/>
                <w:sz w:val="18"/>
                <w:szCs w:val="18"/>
                <w:color w:val="auto"/>
              </w:rPr>
              <w:t>21,475</w:t>
            </w:r>
          </w:p>
        </w:tc>
        <w:tc>
          <w:tcPr>
            <w:tcW w:w="1400" w:type="dxa"/>
            <w:vAlign w:val="bottom"/>
            <w:gridSpan w:val="2"/>
          </w:tcPr>
          <w:p>
            <w:pPr>
              <w:jc w:val="right"/>
              <w:ind w:right="211"/>
              <w:spacing w:after="0"/>
              <w:rPr>
                <w:sz w:val="20"/>
                <w:szCs w:val="20"/>
                <w:color w:val="auto"/>
              </w:rPr>
            </w:pPr>
            <w:r>
              <w:rPr>
                <w:rFonts w:ascii="Arial" w:cs="Arial" w:eastAsia="Arial" w:hAnsi="Arial"/>
                <w:sz w:val="18"/>
                <w:szCs w:val="18"/>
                <w:color w:val="auto"/>
              </w:rPr>
              <w:t>(136)</w:t>
            </w:r>
          </w:p>
        </w:tc>
        <w:tc>
          <w:tcPr>
            <w:tcW w:w="1080" w:type="dxa"/>
            <w:vAlign w:val="bottom"/>
          </w:tcPr>
          <w:p>
            <w:pPr>
              <w:jc w:val="right"/>
              <w:ind w:right="272"/>
              <w:spacing w:after="0"/>
              <w:rPr>
                <w:sz w:val="20"/>
                <w:szCs w:val="20"/>
                <w:color w:val="auto"/>
              </w:rPr>
            </w:pPr>
            <w:r>
              <w:rPr>
                <w:rFonts w:ascii="Arial" w:cs="Arial" w:eastAsia="Arial" w:hAnsi="Arial"/>
                <w:sz w:val="18"/>
                <w:szCs w:val="18"/>
                <w:color w:val="auto"/>
              </w:rPr>
              <w:t>(45)</w:t>
            </w:r>
          </w:p>
        </w:tc>
        <w:tc>
          <w:tcPr>
            <w:tcW w:w="1000" w:type="dxa"/>
            <w:vAlign w:val="bottom"/>
          </w:tcPr>
          <w:p>
            <w:pPr>
              <w:jc w:val="right"/>
              <w:ind w:right="254"/>
              <w:spacing w:after="0"/>
              <w:rPr>
                <w:sz w:val="20"/>
                <w:szCs w:val="20"/>
                <w:color w:val="auto"/>
              </w:rPr>
            </w:pPr>
            <w:r>
              <w:rPr>
                <w:rFonts w:ascii="Arial" w:cs="Arial" w:eastAsia="Arial" w:hAnsi="Arial"/>
                <w:sz w:val="18"/>
                <w:szCs w:val="18"/>
                <w:color w:val="auto"/>
              </w:rPr>
              <w:t>(229)</w:t>
            </w: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Business services customers</w:t>
            </w: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333"/>
              <w:spacing w:after="0"/>
              <w:rPr>
                <w:sz w:val="20"/>
                <w:szCs w:val="20"/>
                <w:color w:val="auto"/>
              </w:rPr>
            </w:pPr>
            <w:r>
              <w:rPr>
                <w:rFonts w:ascii="Arial" w:cs="Arial" w:eastAsia="Arial" w:hAnsi="Arial"/>
                <w:sz w:val="18"/>
                <w:szCs w:val="18"/>
                <w:color w:val="auto"/>
              </w:rPr>
              <w:t>1,047</w:t>
            </w:r>
          </w:p>
        </w:tc>
        <w:tc>
          <w:tcPr>
            <w:tcW w:w="620" w:type="dxa"/>
            <w:vAlign w:val="bottom"/>
          </w:tcPr>
          <w:p>
            <w:pPr>
              <w:jc w:val="right"/>
              <w:spacing w:after="0"/>
              <w:rPr>
                <w:sz w:val="20"/>
                <w:szCs w:val="20"/>
                <w:color w:val="auto"/>
              </w:rPr>
            </w:pPr>
            <w:r>
              <w:rPr>
                <w:rFonts w:ascii="Arial" w:cs="Arial" w:eastAsia="Arial" w:hAnsi="Arial"/>
                <w:sz w:val="18"/>
                <w:szCs w:val="18"/>
                <w:color w:val="auto"/>
              </w:rPr>
              <w:t>1,040</w:t>
            </w:r>
          </w:p>
        </w:tc>
        <w:tc>
          <w:tcPr>
            <w:tcW w:w="800" w:type="dxa"/>
            <w:vAlign w:val="bottom"/>
          </w:tcPr>
          <w:p>
            <w:pPr>
              <w:spacing w:after="0"/>
              <w:rPr>
                <w:sz w:val="23"/>
                <w:szCs w:val="23"/>
                <w:color w:val="auto"/>
              </w:rPr>
            </w:pPr>
          </w:p>
        </w:tc>
        <w:tc>
          <w:tcPr>
            <w:tcW w:w="600" w:type="dxa"/>
            <w:vAlign w:val="bottom"/>
          </w:tcPr>
          <w:p>
            <w:pPr>
              <w:jc w:val="right"/>
              <w:ind w:right="211"/>
              <w:spacing w:after="0"/>
              <w:rPr>
                <w:sz w:val="20"/>
                <w:szCs w:val="20"/>
                <w:color w:val="auto"/>
              </w:rPr>
            </w:pPr>
            <w:r>
              <w:rPr>
                <w:rFonts w:ascii="Arial" w:cs="Arial" w:eastAsia="Arial" w:hAnsi="Arial"/>
                <w:sz w:val="18"/>
                <w:szCs w:val="18"/>
                <w:color w:val="auto"/>
              </w:rPr>
              <w:t>(4)</w:t>
            </w:r>
          </w:p>
        </w:tc>
        <w:tc>
          <w:tcPr>
            <w:tcW w:w="1080" w:type="dxa"/>
            <w:vAlign w:val="bottom"/>
          </w:tcPr>
          <w:p>
            <w:pPr>
              <w:jc w:val="right"/>
              <w:ind w:right="332"/>
              <w:spacing w:after="0"/>
              <w:rPr>
                <w:sz w:val="20"/>
                <w:szCs w:val="20"/>
                <w:color w:val="auto"/>
              </w:rPr>
            </w:pPr>
            <w:r>
              <w:rPr>
                <w:rFonts w:ascii="Arial" w:cs="Arial" w:eastAsia="Arial" w:hAnsi="Arial"/>
                <w:sz w:val="18"/>
                <w:szCs w:val="18"/>
                <w:color w:val="auto"/>
              </w:rPr>
              <w:t>11</w:t>
            </w:r>
          </w:p>
        </w:tc>
        <w:tc>
          <w:tcPr>
            <w:tcW w:w="1000" w:type="dxa"/>
            <w:vAlign w:val="bottom"/>
          </w:tcPr>
          <w:p>
            <w:pPr>
              <w:jc w:val="right"/>
              <w:ind w:right="254"/>
              <w:spacing w:after="0"/>
              <w:rPr>
                <w:sz w:val="20"/>
                <w:szCs w:val="20"/>
                <w:color w:val="auto"/>
              </w:rPr>
            </w:pPr>
            <w:r>
              <w:rPr>
                <w:rFonts w:ascii="Arial" w:cs="Arial" w:eastAsia="Arial" w:hAnsi="Arial"/>
                <w:sz w:val="18"/>
                <w:szCs w:val="18"/>
                <w:color w:val="auto"/>
              </w:rPr>
              <w:t>(6)</w:t>
            </w:r>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3"/>
                <w:szCs w:val="23"/>
                <w:color w:val="auto"/>
              </w:rPr>
            </w:pPr>
          </w:p>
        </w:tc>
      </w:tr>
      <w:tr>
        <w:trPr>
          <w:trHeight w:val="270"/>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Total video customers</w:t>
            </w: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333"/>
              <w:spacing w:after="0"/>
              <w:rPr>
                <w:sz w:val="20"/>
                <w:szCs w:val="20"/>
                <w:color w:val="auto"/>
              </w:rPr>
            </w:pPr>
            <w:r>
              <w:rPr>
                <w:rFonts w:ascii="Arial" w:cs="Arial" w:eastAsia="Arial" w:hAnsi="Arial"/>
                <w:sz w:val="18"/>
                <w:szCs w:val="18"/>
                <w:color w:val="auto"/>
              </w:rPr>
              <w:t>22,121</w:t>
            </w:r>
          </w:p>
        </w:tc>
        <w:tc>
          <w:tcPr>
            <w:tcW w:w="620" w:type="dxa"/>
            <w:vAlign w:val="bottom"/>
          </w:tcPr>
          <w:p>
            <w:pPr>
              <w:jc w:val="right"/>
              <w:spacing w:after="0"/>
              <w:rPr>
                <w:sz w:val="20"/>
                <w:szCs w:val="20"/>
                <w:color w:val="auto"/>
              </w:rPr>
            </w:pPr>
            <w:r>
              <w:rPr>
                <w:rFonts w:ascii="Arial" w:cs="Arial" w:eastAsia="Arial" w:hAnsi="Arial"/>
                <w:sz w:val="18"/>
                <w:szCs w:val="18"/>
                <w:color w:val="auto"/>
              </w:rPr>
              <w:t>22,516</w:t>
            </w:r>
          </w:p>
        </w:tc>
        <w:tc>
          <w:tcPr>
            <w:tcW w:w="1400" w:type="dxa"/>
            <w:vAlign w:val="bottom"/>
            <w:gridSpan w:val="2"/>
          </w:tcPr>
          <w:p>
            <w:pPr>
              <w:jc w:val="right"/>
              <w:ind w:right="211"/>
              <w:spacing w:after="0"/>
              <w:rPr>
                <w:sz w:val="20"/>
                <w:szCs w:val="20"/>
                <w:color w:val="auto"/>
              </w:rPr>
            </w:pPr>
            <w:r>
              <w:rPr>
                <w:rFonts w:ascii="Arial" w:cs="Arial" w:eastAsia="Arial" w:hAnsi="Arial"/>
                <w:sz w:val="18"/>
                <w:szCs w:val="18"/>
                <w:color w:val="auto"/>
              </w:rPr>
              <w:t>(140)</w:t>
            </w:r>
          </w:p>
        </w:tc>
        <w:tc>
          <w:tcPr>
            <w:tcW w:w="1080" w:type="dxa"/>
            <w:vAlign w:val="bottom"/>
          </w:tcPr>
          <w:p>
            <w:pPr>
              <w:jc w:val="right"/>
              <w:ind w:right="272"/>
              <w:spacing w:after="0"/>
              <w:rPr>
                <w:sz w:val="20"/>
                <w:szCs w:val="20"/>
                <w:color w:val="auto"/>
              </w:rPr>
            </w:pPr>
            <w:r>
              <w:rPr>
                <w:rFonts w:ascii="Arial" w:cs="Arial" w:eastAsia="Arial" w:hAnsi="Arial"/>
                <w:sz w:val="18"/>
                <w:szCs w:val="18"/>
                <w:color w:val="auto"/>
              </w:rPr>
              <w:t>(34)</w:t>
            </w:r>
          </w:p>
        </w:tc>
        <w:tc>
          <w:tcPr>
            <w:tcW w:w="1000" w:type="dxa"/>
            <w:vAlign w:val="bottom"/>
          </w:tcPr>
          <w:p>
            <w:pPr>
              <w:jc w:val="right"/>
              <w:ind w:right="254"/>
              <w:spacing w:after="0"/>
              <w:rPr>
                <w:sz w:val="20"/>
                <w:szCs w:val="20"/>
                <w:color w:val="auto"/>
              </w:rPr>
            </w:pPr>
            <w:r>
              <w:rPr>
                <w:rFonts w:ascii="Arial" w:cs="Arial" w:eastAsia="Arial" w:hAnsi="Arial"/>
                <w:sz w:val="18"/>
                <w:szCs w:val="18"/>
                <w:color w:val="auto"/>
              </w:rPr>
              <w:t>(236)</w:t>
            </w: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3"/>
                <w:szCs w:val="23"/>
                <w:color w:val="auto"/>
              </w:rPr>
            </w:pPr>
          </w:p>
        </w:tc>
      </w:tr>
      <w:tr>
        <w:trPr>
          <w:trHeight w:val="27"/>
        </w:trPr>
        <w:tc>
          <w:tcPr>
            <w:tcW w:w="40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4080" w:type="dxa"/>
            <w:vAlign w:val="bottom"/>
            <w:gridSpan w:val="2"/>
          </w:tcPr>
          <w:p>
            <w:pPr>
              <w:ind w:left="40"/>
              <w:spacing w:after="0"/>
              <w:rPr>
                <w:sz w:val="20"/>
                <w:szCs w:val="20"/>
                <w:color w:val="auto"/>
              </w:rPr>
            </w:pPr>
            <w:r>
              <w:rPr>
                <w:rFonts w:ascii="Arial" w:cs="Arial" w:eastAsia="Arial" w:hAnsi="Arial"/>
                <w:sz w:val="18"/>
                <w:szCs w:val="18"/>
                <w:b w:val="1"/>
                <w:bCs w:val="1"/>
                <w:color w:val="auto"/>
              </w:rPr>
              <w:t>High-speed Internet</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Residential customers</w:t>
            </w: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333"/>
              <w:spacing w:after="0"/>
              <w:rPr>
                <w:sz w:val="20"/>
                <w:szCs w:val="20"/>
                <w:color w:val="auto"/>
              </w:rPr>
            </w:pPr>
            <w:r>
              <w:rPr>
                <w:rFonts w:ascii="Arial" w:cs="Arial" w:eastAsia="Arial" w:hAnsi="Arial"/>
                <w:sz w:val="18"/>
                <w:szCs w:val="18"/>
                <w:color w:val="auto"/>
              </w:rPr>
              <w:t>24,440</w:t>
            </w:r>
          </w:p>
        </w:tc>
        <w:tc>
          <w:tcPr>
            <w:tcW w:w="620" w:type="dxa"/>
            <w:vAlign w:val="bottom"/>
          </w:tcPr>
          <w:p>
            <w:pPr>
              <w:jc w:val="right"/>
              <w:spacing w:after="0"/>
              <w:rPr>
                <w:sz w:val="20"/>
                <w:szCs w:val="20"/>
                <w:color w:val="auto"/>
              </w:rPr>
            </w:pPr>
            <w:r>
              <w:rPr>
                <w:rFonts w:ascii="Arial" w:cs="Arial" w:eastAsia="Arial" w:hAnsi="Arial"/>
                <w:sz w:val="18"/>
                <w:szCs w:val="18"/>
                <w:color w:val="auto"/>
              </w:rPr>
              <w:t>23,364</w:t>
            </w:r>
          </w:p>
        </w:tc>
        <w:tc>
          <w:tcPr>
            <w:tcW w:w="1400" w:type="dxa"/>
            <w:vAlign w:val="bottom"/>
            <w:gridSpan w:val="2"/>
          </w:tcPr>
          <w:p>
            <w:pPr>
              <w:jc w:val="right"/>
              <w:ind w:right="271"/>
              <w:spacing w:after="0"/>
              <w:rPr>
                <w:sz w:val="20"/>
                <w:szCs w:val="20"/>
                <w:color w:val="auto"/>
              </w:rPr>
            </w:pPr>
            <w:r>
              <w:rPr>
                <w:rFonts w:ascii="Arial" w:cs="Arial" w:eastAsia="Arial" w:hAnsi="Arial"/>
                <w:sz w:val="18"/>
                <w:szCs w:val="18"/>
                <w:color w:val="auto"/>
              </w:rPr>
              <w:t>226</w:t>
            </w:r>
          </w:p>
        </w:tc>
        <w:tc>
          <w:tcPr>
            <w:tcW w:w="1080" w:type="dxa"/>
            <w:vAlign w:val="bottom"/>
          </w:tcPr>
          <w:p>
            <w:pPr>
              <w:jc w:val="right"/>
              <w:ind w:right="332"/>
              <w:spacing w:after="0"/>
              <w:rPr>
                <w:sz w:val="20"/>
                <w:szCs w:val="20"/>
                <w:color w:val="auto"/>
              </w:rPr>
            </w:pPr>
            <w:r>
              <w:rPr>
                <w:rFonts w:ascii="Arial" w:cs="Arial" w:eastAsia="Arial" w:hAnsi="Arial"/>
                <w:sz w:val="18"/>
                <w:szCs w:val="18"/>
                <w:color w:val="auto"/>
              </w:rPr>
              <w:t>140</w:t>
            </w:r>
          </w:p>
        </w:tc>
        <w:tc>
          <w:tcPr>
            <w:tcW w:w="1000" w:type="dxa"/>
            <w:vAlign w:val="bottom"/>
          </w:tcPr>
          <w:p>
            <w:pPr>
              <w:jc w:val="right"/>
              <w:ind w:right="314"/>
              <w:spacing w:after="0"/>
              <w:rPr>
                <w:sz w:val="20"/>
                <w:szCs w:val="20"/>
                <w:color w:val="auto"/>
              </w:rPr>
            </w:pPr>
            <w:r>
              <w:rPr>
                <w:rFonts w:ascii="Arial" w:cs="Arial" w:eastAsia="Arial" w:hAnsi="Arial"/>
                <w:sz w:val="18"/>
                <w:szCs w:val="18"/>
                <w:color w:val="auto"/>
              </w:rPr>
              <w:t>577</w:t>
            </w:r>
          </w:p>
        </w:tc>
        <w:tc>
          <w:tcPr>
            <w:tcW w:w="700" w:type="dxa"/>
            <w:vAlign w:val="bottom"/>
          </w:tcPr>
          <w:p>
            <w:pPr>
              <w:jc w:val="right"/>
              <w:spacing w:after="0"/>
              <w:rPr>
                <w:sz w:val="20"/>
                <w:szCs w:val="20"/>
                <w:color w:val="auto"/>
              </w:rPr>
            </w:pPr>
            <w:r>
              <w:rPr>
                <w:rFonts w:ascii="Arial" w:cs="Arial" w:eastAsia="Arial" w:hAnsi="Arial"/>
                <w:sz w:val="18"/>
                <w:szCs w:val="18"/>
                <w:color w:val="auto"/>
              </w:rPr>
              <w:t>537</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Business services customers</w:t>
            </w: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333"/>
              <w:spacing w:after="0"/>
              <w:rPr>
                <w:sz w:val="20"/>
                <w:szCs w:val="20"/>
                <w:color w:val="auto"/>
              </w:rPr>
            </w:pPr>
            <w:r>
              <w:rPr>
                <w:rFonts w:ascii="Arial" w:cs="Arial" w:eastAsia="Arial" w:hAnsi="Arial"/>
                <w:sz w:val="18"/>
                <w:szCs w:val="18"/>
                <w:color w:val="auto"/>
              </w:rPr>
              <w:t>2,069</w:t>
            </w:r>
          </w:p>
        </w:tc>
        <w:tc>
          <w:tcPr>
            <w:tcW w:w="620" w:type="dxa"/>
            <w:vAlign w:val="bottom"/>
          </w:tcPr>
          <w:p>
            <w:pPr>
              <w:jc w:val="right"/>
              <w:spacing w:after="0"/>
              <w:rPr>
                <w:sz w:val="20"/>
                <w:szCs w:val="20"/>
                <w:color w:val="auto"/>
              </w:rPr>
            </w:pPr>
            <w:r>
              <w:rPr>
                <w:rFonts w:ascii="Arial" w:cs="Arial" w:eastAsia="Arial" w:hAnsi="Arial"/>
                <w:sz w:val="18"/>
                <w:szCs w:val="18"/>
                <w:color w:val="auto"/>
              </w:rPr>
              <w:t>1,942</w:t>
            </w:r>
          </w:p>
        </w:tc>
        <w:tc>
          <w:tcPr>
            <w:tcW w:w="800" w:type="dxa"/>
            <w:vAlign w:val="bottom"/>
          </w:tcPr>
          <w:p>
            <w:pPr>
              <w:spacing w:after="0"/>
              <w:rPr>
                <w:sz w:val="23"/>
                <w:szCs w:val="23"/>
                <w:color w:val="auto"/>
              </w:rPr>
            </w:pPr>
          </w:p>
        </w:tc>
        <w:tc>
          <w:tcPr>
            <w:tcW w:w="600" w:type="dxa"/>
            <w:vAlign w:val="bottom"/>
          </w:tcPr>
          <w:p>
            <w:pPr>
              <w:jc w:val="right"/>
              <w:ind w:right="271"/>
              <w:spacing w:after="0"/>
              <w:rPr>
                <w:sz w:val="20"/>
                <w:szCs w:val="20"/>
                <w:color w:val="auto"/>
              </w:rPr>
            </w:pPr>
            <w:r>
              <w:rPr>
                <w:rFonts w:ascii="Arial" w:cs="Arial" w:eastAsia="Arial" w:hAnsi="Arial"/>
                <w:sz w:val="18"/>
                <w:szCs w:val="18"/>
                <w:color w:val="auto"/>
              </w:rPr>
              <w:t>34</w:t>
            </w:r>
          </w:p>
        </w:tc>
        <w:tc>
          <w:tcPr>
            <w:tcW w:w="1080" w:type="dxa"/>
            <w:vAlign w:val="bottom"/>
          </w:tcPr>
          <w:p>
            <w:pPr>
              <w:jc w:val="right"/>
              <w:ind w:right="332"/>
              <w:spacing w:after="0"/>
              <w:rPr>
                <w:sz w:val="20"/>
                <w:szCs w:val="20"/>
                <w:color w:val="auto"/>
              </w:rPr>
            </w:pPr>
            <w:r>
              <w:rPr>
                <w:rFonts w:ascii="Arial" w:cs="Arial" w:eastAsia="Arial" w:hAnsi="Arial"/>
                <w:sz w:val="18"/>
                <w:szCs w:val="18"/>
                <w:color w:val="auto"/>
              </w:rPr>
              <w:t>35</w:t>
            </w:r>
          </w:p>
        </w:tc>
        <w:tc>
          <w:tcPr>
            <w:tcW w:w="1000" w:type="dxa"/>
            <w:vAlign w:val="bottom"/>
          </w:tcPr>
          <w:p>
            <w:pPr>
              <w:jc w:val="right"/>
              <w:ind w:right="314"/>
              <w:spacing w:after="0"/>
              <w:rPr>
                <w:sz w:val="20"/>
                <w:szCs w:val="20"/>
                <w:color w:val="auto"/>
              </w:rPr>
            </w:pPr>
            <w:r>
              <w:rPr>
                <w:rFonts w:ascii="Arial" w:cs="Arial" w:eastAsia="Arial" w:hAnsi="Arial"/>
                <w:sz w:val="18"/>
                <w:szCs w:val="18"/>
                <w:color w:val="auto"/>
              </w:rPr>
              <w:t>63</w:t>
            </w:r>
          </w:p>
        </w:tc>
        <w:tc>
          <w:tcPr>
            <w:tcW w:w="70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23"/>
                <w:szCs w:val="23"/>
                <w:color w:val="auto"/>
              </w:rPr>
            </w:pPr>
          </w:p>
        </w:tc>
      </w:tr>
      <w:tr>
        <w:trPr>
          <w:trHeight w:val="270"/>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Total high-speed Internet customers</w:t>
            </w: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333"/>
              <w:spacing w:after="0"/>
              <w:rPr>
                <w:sz w:val="20"/>
                <w:szCs w:val="20"/>
                <w:color w:val="auto"/>
              </w:rPr>
            </w:pPr>
            <w:r>
              <w:rPr>
                <w:rFonts w:ascii="Arial" w:cs="Arial" w:eastAsia="Arial" w:hAnsi="Arial"/>
                <w:sz w:val="18"/>
                <w:szCs w:val="18"/>
                <w:color w:val="auto"/>
              </w:rPr>
              <w:t>26,509</w:t>
            </w:r>
          </w:p>
        </w:tc>
        <w:tc>
          <w:tcPr>
            <w:tcW w:w="620" w:type="dxa"/>
            <w:vAlign w:val="bottom"/>
          </w:tcPr>
          <w:p>
            <w:pPr>
              <w:jc w:val="right"/>
              <w:spacing w:after="0"/>
              <w:rPr>
                <w:sz w:val="20"/>
                <w:szCs w:val="20"/>
                <w:color w:val="auto"/>
              </w:rPr>
            </w:pPr>
            <w:r>
              <w:rPr>
                <w:rFonts w:ascii="Arial" w:cs="Arial" w:eastAsia="Arial" w:hAnsi="Arial"/>
                <w:sz w:val="18"/>
                <w:szCs w:val="18"/>
                <w:color w:val="auto"/>
              </w:rPr>
              <w:t>25,306</w:t>
            </w:r>
          </w:p>
        </w:tc>
        <w:tc>
          <w:tcPr>
            <w:tcW w:w="1400" w:type="dxa"/>
            <w:vAlign w:val="bottom"/>
            <w:gridSpan w:val="2"/>
          </w:tcPr>
          <w:p>
            <w:pPr>
              <w:jc w:val="right"/>
              <w:ind w:right="271"/>
              <w:spacing w:after="0"/>
              <w:rPr>
                <w:sz w:val="20"/>
                <w:szCs w:val="20"/>
                <w:color w:val="auto"/>
              </w:rPr>
            </w:pPr>
            <w:r>
              <w:rPr>
                <w:rFonts w:ascii="Arial" w:cs="Arial" w:eastAsia="Arial" w:hAnsi="Arial"/>
                <w:sz w:val="18"/>
                <w:szCs w:val="18"/>
                <w:color w:val="auto"/>
              </w:rPr>
              <w:t>260</w:t>
            </w:r>
          </w:p>
        </w:tc>
        <w:tc>
          <w:tcPr>
            <w:tcW w:w="1080" w:type="dxa"/>
            <w:vAlign w:val="bottom"/>
          </w:tcPr>
          <w:p>
            <w:pPr>
              <w:jc w:val="right"/>
              <w:ind w:right="332"/>
              <w:spacing w:after="0"/>
              <w:rPr>
                <w:sz w:val="20"/>
                <w:szCs w:val="20"/>
                <w:color w:val="auto"/>
              </w:rPr>
            </w:pPr>
            <w:r>
              <w:rPr>
                <w:rFonts w:ascii="Arial" w:cs="Arial" w:eastAsia="Arial" w:hAnsi="Arial"/>
                <w:sz w:val="18"/>
                <w:szCs w:val="18"/>
                <w:color w:val="auto"/>
              </w:rPr>
              <w:t>175</w:t>
            </w:r>
          </w:p>
        </w:tc>
        <w:tc>
          <w:tcPr>
            <w:tcW w:w="1000" w:type="dxa"/>
            <w:vAlign w:val="bottom"/>
          </w:tcPr>
          <w:p>
            <w:pPr>
              <w:jc w:val="right"/>
              <w:ind w:right="314"/>
              <w:spacing w:after="0"/>
              <w:rPr>
                <w:sz w:val="20"/>
                <w:szCs w:val="20"/>
                <w:color w:val="auto"/>
              </w:rPr>
            </w:pPr>
            <w:r>
              <w:rPr>
                <w:rFonts w:ascii="Arial" w:cs="Arial" w:eastAsia="Arial" w:hAnsi="Arial"/>
                <w:sz w:val="18"/>
                <w:szCs w:val="18"/>
                <w:color w:val="auto"/>
              </w:rPr>
              <w:t>640</w:t>
            </w:r>
          </w:p>
        </w:tc>
        <w:tc>
          <w:tcPr>
            <w:tcW w:w="700" w:type="dxa"/>
            <w:vAlign w:val="bottom"/>
          </w:tcPr>
          <w:p>
            <w:pPr>
              <w:jc w:val="right"/>
              <w:spacing w:after="0"/>
              <w:rPr>
                <w:sz w:val="20"/>
                <w:szCs w:val="20"/>
                <w:color w:val="auto"/>
              </w:rPr>
            </w:pPr>
            <w:r>
              <w:rPr>
                <w:rFonts w:ascii="Arial" w:cs="Arial" w:eastAsia="Arial" w:hAnsi="Arial"/>
                <w:sz w:val="18"/>
                <w:szCs w:val="18"/>
                <w:color w:val="auto"/>
              </w:rPr>
              <w:t>604</w:t>
            </w:r>
          </w:p>
        </w:tc>
        <w:tc>
          <w:tcPr>
            <w:tcW w:w="20" w:type="dxa"/>
            <w:vAlign w:val="bottom"/>
          </w:tcPr>
          <w:p>
            <w:pPr>
              <w:spacing w:after="0"/>
              <w:rPr>
                <w:sz w:val="23"/>
                <w:szCs w:val="23"/>
                <w:color w:val="auto"/>
              </w:rPr>
            </w:pPr>
          </w:p>
        </w:tc>
      </w:tr>
      <w:tr>
        <w:trPr>
          <w:trHeight w:val="27"/>
        </w:trPr>
        <w:tc>
          <w:tcPr>
            <w:tcW w:w="40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4080" w:type="dxa"/>
            <w:vAlign w:val="bottom"/>
            <w:gridSpan w:val="2"/>
          </w:tcPr>
          <w:p>
            <w:pPr>
              <w:ind w:left="40"/>
              <w:spacing w:after="0"/>
              <w:rPr>
                <w:sz w:val="20"/>
                <w:szCs w:val="20"/>
                <w:color w:val="auto"/>
              </w:rPr>
            </w:pPr>
            <w:r>
              <w:rPr>
                <w:rFonts w:ascii="Arial" w:cs="Arial" w:eastAsia="Arial" w:hAnsi="Arial"/>
                <w:sz w:val="18"/>
                <w:szCs w:val="18"/>
                <w:b w:val="1"/>
                <w:bCs w:val="1"/>
                <w:color w:val="auto"/>
              </w:rPr>
              <w:t>Voice</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Residential customers</w:t>
            </w: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333"/>
              <w:spacing w:after="0"/>
              <w:rPr>
                <w:sz w:val="20"/>
                <w:szCs w:val="20"/>
                <w:color w:val="auto"/>
              </w:rPr>
            </w:pPr>
            <w:r>
              <w:rPr>
                <w:rFonts w:ascii="Arial" w:cs="Arial" w:eastAsia="Arial" w:hAnsi="Arial"/>
                <w:sz w:val="18"/>
                <w:szCs w:val="18"/>
                <w:color w:val="auto"/>
              </w:rPr>
              <w:t>10,213</w:t>
            </w:r>
          </w:p>
        </w:tc>
        <w:tc>
          <w:tcPr>
            <w:tcW w:w="620" w:type="dxa"/>
            <w:vAlign w:val="bottom"/>
          </w:tcPr>
          <w:p>
            <w:pPr>
              <w:jc w:val="right"/>
              <w:spacing w:after="0"/>
              <w:rPr>
                <w:sz w:val="20"/>
                <w:szCs w:val="20"/>
                <w:color w:val="auto"/>
              </w:rPr>
            </w:pPr>
            <w:r>
              <w:rPr>
                <w:rFonts w:ascii="Arial" w:cs="Arial" w:eastAsia="Arial" w:hAnsi="Arial"/>
                <w:sz w:val="18"/>
                <w:szCs w:val="18"/>
                <w:color w:val="auto"/>
              </w:rPr>
              <w:t>10,470</w:t>
            </w:r>
          </w:p>
        </w:tc>
        <w:tc>
          <w:tcPr>
            <w:tcW w:w="800" w:type="dxa"/>
            <w:vAlign w:val="bottom"/>
          </w:tcPr>
          <w:p>
            <w:pPr>
              <w:spacing w:after="0"/>
              <w:rPr>
                <w:sz w:val="23"/>
                <w:szCs w:val="23"/>
                <w:color w:val="auto"/>
              </w:rPr>
            </w:pPr>
          </w:p>
        </w:tc>
        <w:tc>
          <w:tcPr>
            <w:tcW w:w="600" w:type="dxa"/>
            <w:vAlign w:val="bottom"/>
          </w:tcPr>
          <w:p>
            <w:pPr>
              <w:jc w:val="right"/>
              <w:ind w:right="211"/>
              <w:spacing w:after="0"/>
              <w:rPr>
                <w:sz w:val="20"/>
                <w:szCs w:val="20"/>
                <w:color w:val="auto"/>
              </w:rPr>
            </w:pPr>
            <w:r>
              <w:rPr>
                <w:rFonts w:ascii="Arial" w:cs="Arial" w:eastAsia="Arial" w:hAnsi="Arial"/>
                <w:sz w:val="18"/>
                <w:szCs w:val="18"/>
                <w:color w:val="auto"/>
                <w:w w:val="87"/>
              </w:rPr>
              <w:t>(32)</w:t>
            </w:r>
          </w:p>
        </w:tc>
        <w:tc>
          <w:tcPr>
            <w:tcW w:w="1080" w:type="dxa"/>
            <w:vAlign w:val="bottom"/>
          </w:tcPr>
          <w:p>
            <w:pPr>
              <w:jc w:val="right"/>
              <w:ind w:right="272"/>
              <w:spacing w:after="0"/>
              <w:rPr>
                <w:sz w:val="20"/>
                <w:szCs w:val="20"/>
                <w:color w:val="auto"/>
              </w:rPr>
            </w:pPr>
            <w:r>
              <w:rPr>
                <w:rFonts w:ascii="Arial" w:cs="Arial" w:eastAsia="Arial" w:hAnsi="Arial"/>
                <w:sz w:val="18"/>
                <w:szCs w:val="18"/>
                <w:color w:val="auto"/>
              </w:rPr>
              <w:t>(50)</w:t>
            </w:r>
          </w:p>
        </w:tc>
        <w:tc>
          <w:tcPr>
            <w:tcW w:w="1000" w:type="dxa"/>
            <w:vAlign w:val="bottom"/>
          </w:tcPr>
          <w:p>
            <w:pPr>
              <w:jc w:val="right"/>
              <w:ind w:right="254"/>
              <w:spacing w:after="0"/>
              <w:rPr>
                <w:sz w:val="20"/>
                <w:szCs w:val="20"/>
                <w:color w:val="auto"/>
              </w:rPr>
            </w:pPr>
            <w:r>
              <w:rPr>
                <w:rFonts w:ascii="Arial" w:cs="Arial" w:eastAsia="Arial" w:hAnsi="Arial"/>
                <w:sz w:val="18"/>
                <w:szCs w:val="18"/>
                <w:color w:val="auto"/>
              </w:rPr>
              <w:t>(103)</w:t>
            </w:r>
          </w:p>
        </w:tc>
        <w:tc>
          <w:tcPr>
            <w:tcW w:w="70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Business services customers</w:t>
            </w: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333"/>
              <w:spacing w:after="0"/>
              <w:rPr>
                <w:sz w:val="20"/>
                <w:szCs w:val="20"/>
                <w:color w:val="auto"/>
              </w:rPr>
            </w:pPr>
            <w:r>
              <w:rPr>
                <w:rFonts w:ascii="Arial" w:cs="Arial" w:eastAsia="Arial" w:hAnsi="Arial"/>
                <w:sz w:val="18"/>
                <w:szCs w:val="18"/>
                <w:color w:val="auto"/>
              </w:rPr>
              <w:t>1,269</w:t>
            </w:r>
          </w:p>
        </w:tc>
        <w:tc>
          <w:tcPr>
            <w:tcW w:w="620" w:type="dxa"/>
            <w:vAlign w:val="bottom"/>
          </w:tcPr>
          <w:p>
            <w:pPr>
              <w:jc w:val="right"/>
              <w:spacing w:after="0"/>
              <w:rPr>
                <w:sz w:val="20"/>
                <w:szCs w:val="20"/>
                <w:color w:val="auto"/>
              </w:rPr>
            </w:pPr>
            <w:r>
              <w:rPr>
                <w:rFonts w:ascii="Arial" w:cs="Arial" w:eastAsia="Arial" w:hAnsi="Arial"/>
                <w:sz w:val="18"/>
                <w:szCs w:val="18"/>
                <w:color w:val="auto"/>
              </w:rPr>
              <w:t>1,189</w:t>
            </w:r>
          </w:p>
        </w:tc>
        <w:tc>
          <w:tcPr>
            <w:tcW w:w="800" w:type="dxa"/>
            <w:vAlign w:val="bottom"/>
          </w:tcPr>
          <w:p>
            <w:pPr>
              <w:spacing w:after="0"/>
              <w:rPr>
                <w:sz w:val="23"/>
                <w:szCs w:val="23"/>
                <w:color w:val="auto"/>
              </w:rPr>
            </w:pPr>
          </w:p>
        </w:tc>
        <w:tc>
          <w:tcPr>
            <w:tcW w:w="600" w:type="dxa"/>
            <w:vAlign w:val="bottom"/>
          </w:tcPr>
          <w:p>
            <w:pPr>
              <w:jc w:val="right"/>
              <w:ind w:right="271"/>
              <w:spacing w:after="0"/>
              <w:rPr>
                <w:sz w:val="20"/>
                <w:szCs w:val="20"/>
                <w:color w:val="auto"/>
              </w:rPr>
            </w:pPr>
            <w:r>
              <w:rPr>
                <w:rFonts w:ascii="Arial" w:cs="Arial" w:eastAsia="Arial" w:hAnsi="Arial"/>
                <w:sz w:val="18"/>
                <w:szCs w:val="18"/>
                <w:color w:val="auto"/>
              </w:rPr>
              <w:t>17</w:t>
            </w:r>
          </w:p>
        </w:tc>
        <w:tc>
          <w:tcPr>
            <w:tcW w:w="1080" w:type="dxa"/>
            <w:vAlign w:val="bottom"/>
          </w:tcPr>
          <w:p>
            <w:pPr>
              <w:jc w:val="right"/>
              <w:ind w:right="332"/>
              <w:spacing w:after="0"/>
              <w:rPr>
                <w:sz w:val="20"/>
                <w:szCs w:val="20"/>
                <w:color w:val="auto"/>
              </w:rPr>
            </w:pPr>
            <w:r>
              <w:rPr>
                <w:rFonts w:ascii="Arial" w:cs="Arial" w:eastAsia="Arial" w:hAnsi="Arial"/>
                <w:sz w:val="18"/>
                <w:szCs w:val="18"/>
                <w:color w:val="auto"/>
              </w:rPr>
              <w:t>27</w:t>
            </w:r>
          </w:p>
        </w:tc>
        <w:tc>
          <w:tcPr>
            <w:tcW w:w="1000" w:type="dxa"/>
            <w:vAlign w:val="bottom"/>
          </w:tcPr>
          <w:p>
            <w:pPr>
              <w:jc w:val="right"/>
              <w:ind w:right="314"/>
              <w:spacing w:after="0"/>
              <w:rPr>
                <w:sz w:val="20"/>
                <w:szCs w:val="20"/>
                <w:color w:val="auto"/>
              </w:rPr>
            </w:pPr>
            <w:r>
              <w:rPr>
                <w:rFonts w:ascii="Arial" w:cs="Arial" w:eastAsia="Arial" w:hAnsi="Arial"/>
                <w:sz w:val="18"/>
                <w:szCs w:val="18"/>
                <w:color w:val="auto"/>
              </w:rPr>
              <w:t>33</w:t>
            </w:r>
          </w:p>
        </w:tc>
        <w:tc>
          <w:tcPr>
            <w:tcW w:w="70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3"/>
                <w:szCs w:val="23"/>
                <w:color w:val="auto"/>
              </w:rPr>
            </w:pPr>
          </w:p>
        </w:tc>
      </w:tr>
      <w:tr>
        <w:trPr>
          <w:trHeight w:val="270"/>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Total voice customers</w:t>
            </w: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333"/>
              <w:spacing w:after="0"/>
              <w:rPr>
                <w:sz w:val="20"/>
                <w:szCs w:val="20"/>
                <w:color w:val="auto"/>
              </w:rPr>
            </w:pPr>
            <w:r>
              <w:rPr>
                <w:rFonts w:ascii="Arial" w:cs="Arial" w:eastAsia="Arial" w:hAnsi="Arial"/>
                <w:sz w:val="18"/>
                <w:szCs w:val="18"/>
                <w:color w:val="auto"/>
              </w:rPr>
              <w:t>11,482</w:t>
            </w:r>
          </w:p>
        </w:tc>
        <w:tc>
          <w:tcPr>
            <w:tcW w:w="620" w:type="dxa"/>
            <w:vAlign w:val="bottom"/>
          </w:tcPr>
          <w:p>
            <w:pPr>
              <w:jc w:val="right"/>
              <w:spacing w:after="0"/>
              <w:rPr>
                <w:sz w:val="20"/>
                <w:szCs w:val="20"/>
                <w:color w:val="auto"/>
              </w:rPr>
            </w:pPr>
            <w:r>
              <w:rPr>
                <w:rFonts w:ascii="Arial" w:cs="Arial" w:eastAsia="Arial" w:hAnsi="Arial"/>
                <w:sz w:val="18"/>
                <w:szCs w:val="18"/>
                <w:color w:val="auto"/>
              </w:rPr>
              <w:t>11,659</w:t>
            </w:r>
          </w:p>
        </w:tc>
        <w:tc>
          <w:tcPr>
            <w:tcW w:w="800" w:type="dxa"/>
            <w:vAlign w:val="bottom"/>
          </w:tcPr>
          <w:p>
            <w:pPr>
              <w:spacing w:after="0"/>
              <w:rPr>
                <w:sz w:val="23"/>
                <w:szCs w:val="23"/>
                <w:color w:val="auto"/>
              </w:rPr>
            </w:pPr>
          </w:p>
        </w:tc>
        <w:tc>
          <w:tcPr>
            <w:tcW w:w="600" w:type="dxa"/>
            <w:vAlign w:val="bottom"/>
          </w:tcPr>
          <w:p>
            <w:pPr>
              <w:jc w:val="right"/>
              <w:ind w:right="211"/>
              <w:spacing w:after="0"/>
              <w:rPr>
                <w:sz w:val="20"/>
                <w:szCs w:val="20"/>
                <w:color w:val="auto"/>
              </w:rPr>
            </w:pPr>
            <w:r>
              <w:rPr>
                <w:rFonts w:ascii="Arial" w:cs="Arial" w:eastAsia="Arial" w:hAnsi="Arial"/>
                <w:sz w:val="18"/>
                <w:szCs w:val="18"/>
                <w:color w:val="auto"/>
                <w:w w:val="87"/>
              </w:rPr>
              <w:t>(16)</w:t>
            </w:r>
          </w:p>
        </w:tc>
        <w:tc>
          <w:tcPr>
            <w:tcW w:w="1080" w:type="dxa"/>
            <w:vAlign w:val="bottom"/>
          </w:tcPr>
          <w:p>
            <w:pPr>
              <w:jc w:val="right"/>
              <w:ind w:right="272"/>
              <w:spacing w:after="0"/>
              <w:rPr>
                <w:sz w:val="20"/>
                <w:szCs w:val="20"/>
                <w:color w:val="auto"/>
              </w:rPr>
            </w:pPr>
            <w:r>
              <w:rPr>
                <w:rFonts w:ascii="Arial" w:cs="Arial" w:eastAsia="Arial" w:hAnsi="Arial"/>
                <w:sz w:val="18"/>
                <w:szCs w:val="18"/>
                <w:color w:val="auto"/>
              </w:rPr>
              <w:t>(22)</w:t>
            </w:r>
          </w:p>
        </w:tc>
        <w:tc>
          <w:tcPr>
            <w:tcW w:w="1000" w:type="dxa"/>
            <w:vAlign w:val="bottom"/>
          </w:tcPr>
          <w:p>
            <w:pPr>
              <w:jc w:val="right"/>
              <w:ind w:right="254"/>
              <w:spacing w:after="0"/>
              <w:rPr>
                <w:sz w:val="20"/>
                <w:szCs w:val="20"/>
                <w:color w:val="auto"/>
              </w:rPr>
            </w:pPr>
            <w:r>
              <w:rPr>
                <w:rFonts w:ascii="Arial" w:cs="Arial" w:eastAsia="Arial" w:hAnsi="Arial"/>
                <w:sz w:val="18"/>
                <w:szCs w:val="18"/>
                <w:color w:val="auto"/>
              </w:rPr>
              <w:t>(69)</w:t>
            </w: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3"/>
                <w:szCs w:val="23"/>
                <w:color w:val="auto"/>
              </w:rPr>
            </w:pPr>
          </w:p>
        </w:tc>
      </w:tr>
      <w:tr>
        <w:trPr>
          <w:trHeight w:val="27"/>
        </w:trPr>
        <w:tc>
          <w:tcPr>
            <w:tcW w:w="40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4080" w:type="dxa"/>
            <w:vAlign w:val="bottom"/>
            <w:gridSpan w:val="2"/>
          </w:tcPr>
          <w:p>
            <w:pPr>
              <w:ind w:left="40"/>
              <w:spacing w:after="0"/>
              <w:rPr>
                <w:sz w:val="20"/>
                <w:szCs w:val="20"/>
                <w:color w:val="auto"/>
              </w:rPr>
            </w:pPr>
            <w:r>
              <w:rPr>
                <w:rFonts w:ascii="Arial" w:cs="Arial" w:eastAsia="Arial" w:hAnsi="Arial"/>
                <w:sz w:val="18"/>
                <w:szCs w:val="18"/>
                <w:b w:val="1"/>
                <w:bCs w:val="1"/>
                <w:color w:val="auto"/>
              </w:rPr>
              <w:t>Security and automation</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0"/>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Security and automation customers</w:t>
            </w: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333"/>
              <w:spacing w:after="0"/>
              <w:rPr>
                <w:sz w:val="20"/>
                <w:szCs w:val="20"/>
                <w:color w:val="auto"/>
              </w:rPr>
            </w:pPr>
            <w:r>
              <w:rPr>
                <w:rFonts w:ascii="Arial" w:cs="Arial" w:eastAsia="Arial" w:hAnsi="Arial"/>
                <w:sz w:val="18"/>
                <w:szCs w:val="18"/>
                <w:color w:val="auto"/>
              </w:rPr>
              <w:t>1,236</w:t>
            </w:r>
          </w:p>
        </w:tc>
        <w:tc>
          <w:tcPr>
            <w:tcW w:w="620" w:type="dxa"/>
            <w:vAlign w:val="bottom"/>
          </w:tcPr>
          <w:p>
            <w:pPr>
              <w:jc w:val="right"/>
              <w:spacing w:after="0"/>
              <w:rPr>
                <w:sz w:val="20"/>
                <w:szCs w:val="20"/>
                <w:color w:val="auto"/>
              </w:rPr>
            </w:pPr>
            <w:r>
              <w:rPr>
                <w:rFonts w:ascii="Arial" w:cs="Arial" w:eastAsia="Arial" w:hAnsi="Arial"/>
                <w:sz w:val="18"/>
                <w:szCs w:val="18"/>
                <w:color w:val="auto"/>
              </w:rPr>
              <w:t>1,028</w:t>
            </w:r>
          </w:p>
        </w:tc>
        <w:tc>
          <w:tcPr>
            <w:tcW w:w="800" w:type="dxa"/>
            <w:vAlign w:val="bottom"/>
          </w:tcPr>
          <w:p>
            <w:pPr>
              <w:spacing w:after="0"/>
              <w:rPr>
                <w:sz w:val="23"/>
                <w:szCs w:val="23"/>
                <w:color w:val="auto"/>
              </w:rPr>
            </w:pPr>
          </w:p>
        </w:tc>
        <w:tc>
          <w:tcPr>
            <w:tcW w:w="600" w:type="dxa"/>
            <w:vAlign w:val="bottom"/>
          </w:tcPr>
          <w:p>
            <w:pPr>
              <w:jc w:val="right"/>
              <w:ind w:right="271"/>
              <w:spacing w:after="0"/>
              <w:rPr>
                <w:sz w:val="20"/>
                <w:szCs w:val="20"/>
                <w:color w:val="auto"/>
              </w:rPr>
            </w:pPr>
            <w:r>
              <w:rPr>
                <w:rFonts w:ascii="Arial" w:cs="Arial" w:eastAsia="Arial" w:hAnsi="Arial"/>
                <w:sz w:val="18"/>
                <w:szCs w:val="18"/>
                <w:color w:val="auto"/>
              </w:rPr>
              <w:t>60</w:t>
            </w:r>
          </w:p>
        </w:tc>
        <w:tc>
          <w:tcPr>
            <w:tcW w:w="1080" w:type="dxa"/>
            <w:vAlign w:val="bottom"/>
          </w:tcPr>
          <w:p>
            <w:pPr>
              <w:jc w:val="right"/>
              <w:ind w:right="332"/>
              <w:spacing w:after="0"/>
              <w:rPr>
                <w:sz w:val="20"/>
                <w:szCs w:val="20"/>
                <w:color w:val="auto"/>
              </w:rPr>
            </w:pPr>
            <w:r>
              <w:rPr>
                <w:rFonts w:ascii="Arial" w:cs="Arial" w:eastAsia="Arial" w:hAnsi="Arial"/>
                <w:sz w:val="18"/>
                <w:szCs w:val="18"/>
                <w:color w:val="auto"/>
              </w:rPr>
              <w:t>71</w:t>
            </w:r>
          </w:p>
        </w:tc>
        <w:tc>
          <w:tcPr>
            <w:tcW w:w="1000" w:type="dxa"/>
            <w:vAlign w:val="bottom"/>
          </w:tcPr>
          <w:p>
            <w:pPr>
              <w:jc w:val="right"/>
              <w:ind w:right="314"/>
              <w:spacing w:after="0"/>
              <w:rPr>
                <w:sz w:val="20"/>
                <w:szCs w:val="20"/>
                <w:color w:val="auto"/>
              </w:rPr>
            </w:pPr>
            <w:r>
              <w:rPr>
                <w:rFonts w:ascii="Arial" w:cs="Arial" w:eastAsia="Arial" w:hAnsi="Arial"/>
                <w:sz w:val="18"/>
                <w:szCs w:val="18"/>
                <w:color w:val="auto"/>
              </w:rPr>
              <w:t>105</w:t>
            </w:r>
          </w:p>
        </w:tc>
        <w:tc>
          <w:tcPr>
            <w:tcW w:w="700" w:type="dxa"/>
            <w:vAlign w:val="bottom"/>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6"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Customer metrics are presented based on actual amounts. Minor differences may exist due to rounding. Customer relationships represent the number of residential and business customers that subscribe to at least one of our cable services. Single product, double product, and triple and quad product customers represent residential customers that subscribe to one, two, or three and four of our cable services, respectively. For multiple dwelling units (“MDUs”), including buildings located on college campuses, whose residents have the ability to receive additional cable services, such as additional programming choices or our high-definition video (“HD”) or digital video recorder (“DVR”) advanced services, we count and report customers based on the number of potential billable relationships within each MDU. For MDUs whose residents are not able to receive additional cable services, the MDU is counted as a single customer. Residential video and high-speed Internet customers as of June 30, 2018 included prepaid customers totaling approximately 5,000 and 108,000, respectively.</w:t>
      </w:r>
    </w:p>
    <w:p>
      <w:pPr>
        <w:sectPr>
          <w:pgSz w:w="11900" w:h="16838" w:orient="portrait"/>
          <w:cols w:equalWidth="0" w:num="1">
            <w:col w:w="11420"/>
          </w:cols>
          <w:pgMar w:left="240" w:top="175" w:right="239" w:bottom="784" w:gutter="0" w:footer="0" w:header="0"/>
        </w:sect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75" w:right="239" w:bottom="784"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Average monthly total revenue per customer relationship for the three and six months ended June 30, 2018 was $153.82 and $153.44, respectively. Average monthly total revenue per customer relationship for the three and six months ended June 30, 2017 was $152.74 and $152.33, respectively. This metric is impacted by rate adjustments and changes in the types and levels of services received by our residential and business services customers, as well as changes in advertising revenue. While revenue from our residential video, high-speed Internet and voice services are also impacted by changes in the allocation of revenue among services sold in a bundle, the allocation does not impact average monthly total revenue per customer relationship.</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Average monthly Adjusted EBITDA per customer relationship for the three and six months ended June 30, 2018 was $63.26 and $62.29, respectively. Average monthly Adjusted EBITDA per customer relationship for the three and six months ended June 30, 2017 was $60.99 and $60.61, respectively. Each of our cable services has a different contribution to operating margin. We use average monthly Adjusted EBITDA per customer relationship to evaluate the profitability of our customer base across all of our service offerings. We believe this metric is useful particularly as we continue to focus on growing our higher-margin businesses, including residential high-speed Internet and business services.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Segment—Revenue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w:t>
      </w:r>
    </w:p>
    <w:p>
      <w:pPr>
        <w:spacing w:after="0" w:line="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Video revenue decreased 1.9% and 1.4% for the three and six months ended June 30, 2018, respectively, compared to the same periods in 2017. The decreases were primarily due to decreases in the number of residential video customers and, to a lesser extent, changes in average video rates. We have experienced, and expect that we will continue to experience, declines in the number of residential video customers due to competitive pressures, and we expect that our video revenue will continue to decline. Competition is intense, both from traditional multichannel video providers and from new technologies and distribution platforms for viewing content. We are responding to this competition through our X1 platform and sales and marketing programs, such as promotions, bundled service offerings and service offerings targeted at specific market segments.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High-Speed Internet</w:t>
      </w:r>
    </w:p>
    <w:p>
      <w:pPr>
        <w:spacing w:after="0" w:line="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High-speed Internet revenue increased 9.3% and 8.8% and for the three and six months ended June 30, 2018, respectively, compared to the same periods in 2017. Increases in the number of residential customers receiving our high-speed Internet services accounted for increases in revenue of 4.4% and 4.6% for the three and six months ended June 30, 2018, respectively. The remaining increases in revenue for the three and six months ended June 30, 2018 were primarily due to changes in average high-speed Internet rates. Our customer base continues to grow as consumers choose our high-speed Internet services and seek offerings with better speed, coverage and control.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Voice</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Voice revenue decreased 3.9% and 3.3% for the three and six months ended June 30, 2018, respectively, compared to the same periods in 2017 primarily due to decreases in the number of residential voice customers. We expect that the number of residential voice customers and voice revenue will continue to decline.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Services</w:t>
      </w:r>
    </w:p>
    <w:p>
      <w:pPr>
        <w:spacing w:after="0" w:line="12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Business services revenue increased 11.1% and 11.5% for the three and six months ended June 30, 2018, respectively, compared to the same periods in 2017. The increases were primarily due to increases in the number of customers receiving our small and medium-sized business services offerings. We believe the increases in the number of business customers are primarily the result of our efforts to gain market share from competitors by offering competitive services and pricing, although the rate of growth in the number of our small business customers may slow as the business matures.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Advertising revenue increased 6.4% and 5.7% for the three and six months ended June 30, 2018, respectively, compared to the same periods in 2017 primarily due to increases in political advertising revenue. Excluding political advertising revenue, advertising revenue increased 1.3% and 1.4% for the three and six months ended June 30, 2018, respectively, compared to the same periods in 2017. These increases were primarily due to increases in revenue from our advanced advertising business.</w:t>
      </w:r>
    </w:p>
    <w:p>
      <w:pPr>
        <w:spacing w:after="0" w:line="13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For both the three and six months ended June 30, 2018, 4% of our Cable Communications segment advertising revenue was generated from our NBCUniversal segments. For the three and six months ended June 30, 2017, 4% and 5%, respectively, of our Cable Communications segment advertising revenue was generated from our NBCUniversal segments. These amounts are eliminated in our condensed consolidated financial statements but are included in the amounts presented above.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2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Other revenue increased 6.9% and 5.7% for the three and six months ended June 30, 2018, respectively, compared to the same periods in 2017 primarily due to increases in revenue from our security and automation services and the licensing of our X1 platform to other multichannel video providers.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75"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Segment—Operating Costs and Expenses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Programming expenses increased for the three and six months ended June 30, 2018 compared to the same periods in 2017 primarily due to increases in programming license fees, including retransmission consent fees and sports programming costs.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Technical and product support expenses increased for the three and six months ended June 30, 2018 compared to the same periods in 2017 primarily due to expenses related to the continued development, deployment and support of our X1 platform, cloud DVR technology and wireless gateways, and continued growth in business services and security and automation services.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Customer service expenses decreased slightly for the three months ended June 30, 2018 compared to the same period in 2017. Customer service expenses decreased for the six months ended June 30, 2018 compared to the same period in 2017 primarily due to lower personnel costs as a result of reduced call volumes.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Advertising, marketing and promotion expenses decreased slightly for the three months ended June 30, 2018 compared to the same period in 2017. Advertising, marketing and promotion expenses increased for the six months ended June 30, 2018 compared to the same period in 2017 primarily due to an increase in spending associated with attracting new customers and encouraging existing customers to add additional or higher-tier services, including advertising expenses associated with the 2018 PyeongChang Olympics.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Franchise and other regulatory fees decreased for the three and six months ended June 30, 2018 compared to the same periods in 2017 primarily due to decreases in the revenue to which the fees apply.</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costs and expenses decreased for the three months ended June 30, 2018 compared to the same period in 2017 primarily due to decreases in administrative costs, which were partially offset by increases in costs to support our advertising sales business. Other costs and expenses remained flat for the six months ended June 30, 2018 compared to the same period in 2017.</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Segment—Operating Margin</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Cable Communications segment operating margin is Adjusted EBITDA as a percentage of revenue. The most significant operating costs and expenses for our Cable Communications segment are the programming expenses we incur to provide content to our video customers, which increased 3.3% and 3.2% for the three and six months ended June 30, 2018, respectively. We will continue to focus on growing our higher-margin businesses, particularly residential high-speed Internet and business services, and on overall operating cost management.</w:t>
      </w:r>
    </w:p>
    <w:p>
      <w:pPr>
        <w:spacing w:after="0" w:line="11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Cable Communications segment operating margin for the three months ended June 30, 2018 and 2017 was 41.1% and 39.9%, respectively. Our Cable Communications segment operating margin for the six months ended June 30, 2018 and 2017 was 40.6% and 39.8%, respectively.</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Segments Results of Operations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40" w:type="dxa"/>
            <w:vAlign w:val="bottom"/>
          </w:tcPr>
          <w:p>
            <w:pPr>
              <w:jc w:val="right"/>
              <w:ind w:right="134"/>
              <w:spacing w:after="0"/>
              <w:rPr>
                <w:sz w:val="20"/>
                <w:szCs w:val="20"/>
                <w:color w:val="auto"/>
              </w:rPr>
            </w:pPr>
            <w:r>
              <w:rPr>
                <w:rFonts w:ascii="Arial" w:cs="Arial" w:eastAsia="Arial" w:hAnsi="Arial"/>
                <w:sz w:val="14"/>
                <w:szCs w:val="14"/>
                <w:color w:val="auto"/>
              </w:rPr>
              <w:t>Increase/</w:t>
            </w:r>
          </w:p>
        </w:tc>
        <w:tc>
          <w:tcPr>
            <w:tcW w:w="1060" w:type="dxa"/>
            <w:vAlign w:val="bottom"/>
          </w:tcPr>
          <w:p>
            <w:pPr>
              <w:spacing w:after="0"/>
              <w:rPr>
                <w:sz w:val="14"/>
                <w:szCs w:val="14"/>
                <w:color w:val="auto"/>
              </w:rPr>
            </w:pPr>
          </w:p>
        </w:tc>
      </w:tr>
      <w:tr>
        <w:trPr>
          <w:trHeight w:val="188"/>
        </w:trPr>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4"/>
                <w:szCs w:val="14"/>
                <w:color w:val="auto"/>
              </w:rPr>
              <w:t>June 30</w:t>
            </w:r>
          </w:p>
        </w:tc>
        <w:tc>
          <w:tcPr>
            <w:tcW w:w="10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(Decrease)</w:t>
            </w:r>
          </w:p>
        </w:tc>
        <w:tc>
          <w:tcPr>
            <w:tcW w:w="106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2018</w:t>
            </w:r>
          </w:p>
        </w:tc>
        <w:tc>
          <w:tcPr>
            <w:tcW w:w="6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color w:val="auto"/>
                <w:w w:val="96"/>
              </w:rPr>
              <w:t>2017</w:t>
            </w:r>
          </w:p>
        </w:tc>
        <w:tc>
          <w:tcPr>
            <w:tcW w:w="5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194"/>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color w:val="auto"/>
              </w:rPr>
              <w:t>%</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2,916</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2,696</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220</w:t>
            </w:r>
          </w:p>
        </w:tc>
        <w:tc>
          <w:tcPr>
            <w:tcW w:w="1060" w:type="dxa"/>
            <w:vAlign w:val="bottom"/>
          </w:tcPr>
          <w:p>
            <w:pPr>
              <w:jc w:val="right"/>
              <w:spacing w:after="0"/>
              <w:rPr>
                <w:sz w:val="20"/>
                <w:szCs w:val="20"/>
                <w:color w:val="auto"/>
              </w:rPr>
            </w:pPr>
            <w:r>
              <w:rPr>
                <w:rFonts w:ascii="Arial" w:cs="Arial" w:eastAsia="Arial" w:hAnsi="Arial"/>
                <w:sz w:val="18"/>
                <w:szCs w:val="18"/>
                <w:color w:val="auto"/>
              </w:rPr>
              <w:t>8.2 %</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34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2,391</w:t>
            </w:r>
          </w:p>
        </w:tc>
        <w:tc>
          <w:tcPr>
            <w:tcW w:w="680" w:type="dxa"/>
            <w:vAlign w:val="bottom"/>
          </w:tcPr>
          <w:p>
            <w:pPr>
              <w:spacing w:after="0"/>
              <w:rPr>
                <w:sz w:val="23"/>
                <w:szCs w:val="23"/>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2,241</w:t>
            </w:r>
          </w:p>
        </w:tc>
        <w:tc>
          <w:tcPr>
            <w:tcW w:w="52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150</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6.7</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34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1,710</w:t>
            </w:r>
          </w:p>
        </w:tc>
        <w:tc>
          <w:tcPr>
            <w:tcW w:w="680" w:type="dxa"/>
            <w:vAlign w:val="bottom"/>
          </w:tcPr>
          <w:p>
            <w:pPr>
              <w:spacing w:after="0"/>
              <w:rPr>
                <w:sz w:val="23"/>
                <w:szCs w:val="23"/>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2,142</w:t>
            </w:r>
          </w:p>
        </w:tc>
        <w:tc>
          <w:tcPr>
            <w:tcW w:w="52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(432)</w:t>
            </w: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(20.2)</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34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1,361</w:t>
            </w:r>
          </w:p>
        </w:tc>
        <w:tc>
          <w:tcPr>
            <w:tcW w:w="680" w:type="dxa"/>
            <w:vAlign w:val="bottom"/>
          </w:tcPr>
          <w:p>
            <w:pPr>
              <w:spacing w:after="0"/>
              <w:rPr>
                <w:sz w:val="23"/>
                <w:szCs w:val="23"/>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1,314</w:t>
            </w:r>
          </w:p>
        </w:tc>
        <w:tc>
          <w:tcPr>
            <w:tcW w:w="52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47</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3.6</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Headquarters, other and eliminations</w:t>
            </w:r>
          </w:p>
        </w:tc>
        <w:tc>
          <w:tcPr>
            <w:tcW w:w="34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(65)</w:t>
            </w:r>
          </w:p>
        </w:tc>
        <w:tc>
          <w:tcPr>
            <w:tcW w:w="68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(75)</w:t>
            </w:r>
          </w:p>
        </w:tc>
        <w:tc>
          <w:tcPr>
            <w:tcW w:w="52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10</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NM</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113"/>
              <w:spacing w:after="0"/>
              <w:rPr>
                <w:sz w:val="20"/>
                <w:szCs w:val="20"/>
                <w:color w:val="auto"/>
              </w:rPr>
            </w:pPr>
            <w:r>
              <w:rPr>
                <w:rFonts w:ascii="Arial" w:cs="Arial" w:eastAsia="Arial" w:hAnsi="Arial"/>
                <w:sz w:val="18"/>
                <w:szCs w:val="18"/>
                <w:b w:val="1"/>
                <w:bCs w:val="1"/>
                <w:color w:val="auto"/>
              </w:rPr>
              <w:t>8,313</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31"/>
              <w:spacing w:after="0"/>
              <w:rPr>
                <w:sz w:val="20"/>
                <w:szCs w:val="20"/>
                <w:color w:val="auto"/>
              </w:rPr>
            </w:pPr>
            <w:r>
              <w:rPr>
                <w:rFonts w:ascii="Arial" w:cs="Arial" w:eastAsia="Arial" w:hAnsi="Arial"/>
                <w:sz w:val="18"/>
                <w:szCs w:val="18"/>
                <w:b w:val="1"/>
                <w:bCs w:val="1"/>
                <w:color w:val="auto"/>
              </w:rPr>
              <w:t>8,318</w:t>
            </w:r>
          </w:p>
        </w:tc>
        <w:tc>
          <w:tcPr>
            <w:tcW w:w="5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34"/>
              <w:spacing w:after="0"/>
              <w:rPr>
                <w:sz w:val="20"/>
                <w:szCs w:val="20"/>
                <w:color w:val="auto"/>
              </w:rPr>
            </w:pPr>
            <w:r>
              <w:rPr>
                <w:rFonts w:ascii="Arial" w:cs="Arial" w:eastAsia="Arial" w:hAnsi="Arial"/>
                <w:sz w:val="18"/>
                <w:szCs w:val="18"/>
                <w:b w:val="1"/>
                <w:bCs w:val="1"/>
                <w:color w:val="auto"/>
              </w:rPr>
              <w:t>(5)</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(0.1)%</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1,186</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1,055</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131</w:t>
            </w:r>
          </w:p>
        </w:tc>
        <w:tc>
          <w:tcPr>
            <w:tcW w:w="1060" w:type="dxa"/>
            <w:vAlign w:val="bottom"/>
          </w:tcPr>
          <w:p>
            <w:pPr>
              <w:jc w:val="right"/>
              <w:spacing w:after="0"/>
              <w:rPr>
                <w:sz w:val="20"/>
                <w:szCs w:val="20"/>
                <w:color w:val="auto"/>
              </w:rPr>
            </w:pPr>
            <w:r>
              <w:rPr>
                <w:rFonts w:ascii="Arial" w:cs="Arial" w:eastAsia="Arial" w:hAnsi="Arial"/>
                <w:sz w:val="18"/>
                <w:szCs w:val="18"/>
                <w:color w:val="auto"/>
              </w:rPr>
              <w:t>12.5 %</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34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417</w:t>
            </w:r>
          </w:p>
        </w:tc>
        <w:tc>
          <w:tcPr>
            <w:tcW w:w="680" w:type="dxa"/>
            <w:vAlign w:val="bottom"/>
          </w:tcPr>
          <w:p>
            <w:pPr>
              <w:spacing w:after="0"/>
              <w:rPr>
                <w:sz w:val="23"/>
                <w:szCs w:val="23"/>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416</w:t>
            </w:r>
          </w:p>
        </w:tc>
        <w:tc>
          <w:tcPr>
            <w:tcW w:w="52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0.2</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34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138</w:t>
            </w:r>
          </w:p>
        </w:tc>
        <w:tc>
          <w:tcPr>
            <w:tcW w:w="680" w:type="dxa"/>
            <w:vAlign w:val="bottom"/>
          </w:tcPr>
          <w:p>
            <w:pPr>
              <w:spacing w:after="0"/>
              <w:rPr>
                <w:sz w:val="23"/>
                <w:szCs w:val="23"/>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287</w:t>
            </w:r>
          </w:p>
        </w:tc>
        <w:tc>
          <w:tcPr>
            <w:tcW w:w="52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(149)</w:t>
            </w: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(52.1)</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34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569</w:t>
            </w:r>
          </w:p>
        </w:tc>
        <w:tc>
          <w:tcPr>
            <w:tcW w:w="680" w:type="dxa"/>
            <w:vAlign w:val="bottom"/>
          </w:tcPr>
          <w:p>
            <w:pPr>
              <w:spacing w:after="0"/>
              <w:rPr>
                <w:sz w:val="23"/>
                <w:szCs w:val="23"/>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551</w:t>
            </w:r>
          </w:p>
        </w:tc>
        <w:tc>
          <w:tcPr>
            <w:tcW w:w="52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18</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3.4</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Headquarters, other and eliminations</w:t>
            </w:r>
          </w:p>
        </w:tc>
        <w:tc>
          <w:tcPr>
            <w:tcW w:w="34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(150)</w:t>
            </w:r>
          </w:p>
        </w:tc>
        <w:tc>
          <w:tcPr>
            <w:tcW w:w="68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(235)</w:t>
            </w:r>
          </w:p>
        </w:tc>
        <w:tc>
          <w:tcPr>
            <w:tcW w:w="52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85</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NM</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113"/>
              <w:spacing w:after="0"/>
              <w:rPr>
                <w:sz w:val="20"/>
                <w:szCs w:val="20"/>
                <w:color w:val="auto"/>
              </w:rPr>
            </w:pPr>
            <w:r>
              <w:rPr>
                <w:rFonts w:ascii="Arial" w:cs="Arial" w:eastAsia="Arial" w:hAnsi="Arial"/>
                <w:sz w:val="18"/>
                <w:szCs w:val="18"/>
                <w:b w:val="1"/>
                <w:bCs w:val="1"/>
                <w:color w:val="auto"/>
              </w:rPr>
              <w:t>2,160</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31"/>
              <w:spacing w:after="0"/>
              <w:rPr>
                <w:sz w:val="20"/>
                <w:szCs w:val="20"/>
                <w:color w:val="auto"/>
              </w:rPr>
            </w:pPr>
            <w:r>
              <w:rPr>
                <w:rFonts w:ascii="Arial" w:cs="Arial" w:eastAsia="Arial" w:hAnsi="Arial"/>
                <w:sz w:val="18"/>
                <w:szCs w:val="18"/>
                <w:b w:val="1"/>
                <w:bCs w:val="1"/>
                <w:color w:val="auto"/>
              </w:rPr>
              <w:t>2,074</w:t>
            </w:r>
          </w:p>
        </w:tc>
        <w:tc>
          <w:tcPr>
            <w:tcW w:w="5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b w:val="1"/>
                <w:bCs w:val="1"/>
                <w:color w:val="auto"/>
              </w:rPr>
              <w:t>86</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4.2 %</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567"/>
        </w:trPr>
        <w:tc>
          <w:tcPr>
            <w:tcW w:w="4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ind w:right="613"/>
              <w:spacing w:after="0"/>
              <w:rPr>
                <w:sz w:val="20"/>
                <w:szCs w:val="20"/>
                <w:color w:val="auto"/>
              </w:rPr>
            </w:pPr>
            <w:r>
              <w:rPr>
                <w:rFonts w:ascii="Arial" w:cs="Arial" w:eastAsia="Arial" w:hAnsi="Arial"/>
                <w:sz w:val="18"/>
                <w:szCs w:val="18"/>
                <w:color w:val="auto"/>
              </w:rPr>
              <w:t>36</w:t>
            </w: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75"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40" w:type="dxa"/>
            <w:vAlign w:val="bottom"/>
          </w:tcPr>
          <w:p>
            <w:pPr>
              <w:jc w:val="right"/>
              <w:ind w:right="154"/>
              <w:spacing w:after="0"/>
              <w:rPr>
                <w:sz w:val="20"/>
                <w:szCs w:val="20"/>
                <w:color w:val="auto"/>
              </w:rPr>
            </w:pPr>
            <w:r>
              <w:rPr>
                <w:rFonts w:ascii="Arial" w:cs="Arial" w:eastAsia="Arial" w:hAnsi="Arial"/>
                <w:sz w:val="14"/>
                <w:szCs w:val="14"/>
                <w:color w:val="auto"/>
              </w:rPr>
              <w:t>Increase/</w:t>
            </w:r>
          </w:p>
        </w:tc>
        <w:tc>
          <w:tcPr>
            <w:tcW w:w="1040" w:type="dxa"/>
            <w:vAlign w:val="bottom"/>
          </w:tcPr>
          <w:p>
            <w:pPr>
              <w:spacing w:after="0"/>
              <w:rPr>
                <w:sz w:val="14"/>
                <w:szCs w:val="14"/>
                <w:color w:val="auto"/>
              </w:rPr>
            </w:pPr>
          </w:p>
        </w:tc>
      </w:tr>
      <w:tr>
        <w:trPr>
          <w:trHeight w:val="188"/>
        </w:trPr>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color w:val="auto"/>
              </w:rPr>
              <w:t>June 30</w:t>
            </w:r>
          </w:p>
        </w:tc>
        <w:tc>
          <w:tcPr>
            <w:tcW w:w="10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(Decrease)</w:t>
            </w:r>
          </w:p>
        </w:tc>
        <w:tc>
          <w:tcPr>
            <w:tcW w:w="104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2018</w:t>
            </w:r>
          </w:p>
        </w:tc>
        <w:tc>
          <w:tcPr>
            <w:tcW w:w="6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color w:val="auto"/>
              </w:rPr>
              <w:t>2017</w:t>
            </w:r>
          </w:p>
        </w:tc>
        <w:tc>
          <w:tcPr>
            <w:tcW w:w="5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194"/>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color w:val="auto"/>
              </w:rPr>
              <w:t>%</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6,110</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5,336</w:t>
            </w:r>
          </w:p>
        </w:tc>
        <w:tc>
          <w:tcPr>
            <w:tcW w:w="5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774</w:t>
            </w:r>
          </w:p>
        </w:tc>
        <w:tc>
          <w:tcPr>
            <w:tcW w:w="1040" w:type="dxa"/>
            <w:vAlign w:val="bottom"/>
          </w:tcPr>
          <w:p>
            <w:pPr>
              <w:jc w:val="right"/>
              <w:spacing w:after="0"/>
              <w:rPr>
                <w:sz w:val="20"/>
                <w:szCs w:val="20"/>
                <w:color w:val="auto"/>
              </w:rPr>
            </w:pPr>
            <w:r>
              <w:rPr>
                <w:rFonts w:ascii="Arial" w:cs="Arial" w:eastAsia="Arial" w:hAnsi="Arial"/>
                <w:sz w:val="18"/>
                <w:szCs w:val="18"/>
                <w:color w:val="auto"/>
              </w:rPr>
              <w:t>14.5 %</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340" w:type="dxa"/>
            <w:vAlign w:val="bottom"/>
          </w:tcPr>
          <w:p>
            <w:pPr>
              <w:spacing w:after="0"/>
              <w:rPr>
                <w:sz w:val="23"/>
                <w:szCs w:val="23"/>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5,888</w:t>
            </w:r>
          </w:p>
        </w:tc>
        <w:tc>
          <w:tcPr>
            <w:tcW w:w="64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4,449</w:t>
            </w:r>
          </w:p>
        </w:tc>
        <w:tc>
          <w:tcPr>
            <w:tcW w:w="54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1,439</w:t>
            </w:r>
          </w:p>
        </w:tc>
        <w:tc>
          <w:tcPr>
            <w:tcW w:w="1040" w:type="dxa"/>
            <w:vAlign w:val="bottom"/>
          </w:tcPr>
          <w:p>
            <w:pPr>
              <w:jc w:val="right"/>
              <w:ind w:right="171"/>
              <w:spacing w:after="0"/>
              <w:rPr>
                <w:sz w:val="20"/>
                <w:szCs w:val="20"/>
                <w:color w:val="auto"/>
              </w:rPr>
            </w:pPr>
            <w:r>
              <w:rPr>
                <w:rFonts w:ascii="Arial" w:cs="Arial" w:eastAsia="Arial" w:hAnsi="Arial"/>
                <w:sz w:val="18"/>
                <w:szCs w:val="18"/>
                <w:color w:val="auto"/>
              </w:rPr>
              <w:t>32.3</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340" w:type="dxa"/>
            <w:vAlign w:val="bottom"/>
          </w:tcPr>
          <w:p>
            <w:pPr>
              <w:spacing w:after="0"/>
              <w:rPr>
                <w:sz w:val="23"/>
                <w:szCs w:val="23"/>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3,357</w:t>
            </w:r>
          </w:p>
        </w:tc>
        <w:tc>
          <w:tcPr>
            <w:tcW w:w="64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4,109</w:t>
            </w:r>
          </w:p>
        </w:tc>
        <w:tc>
          <w:tcPr>
            <w:tcW w:w="54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(752)</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(18.3)</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340" w:type="dxa"/>
            <w:vAlign w:val="bottom"/>
          </w:tcPr>
          <w:p>
            <w:pPr>
              <w:spacing w:after="0"/>
              <w:rPr>
                <w:sz w:val="23"/>
                <w:szCs w:val="23"/>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2,642</w:t>
            </w:r>
          </w:p>
        </w:tc>
        <w:tc>
          <w:tcPr>
            <w:tcW w:w="64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2,432</w:t>
            </w:r>
          </w:p>
        </w:tc>
        <w:tc>
          <w:tcPr>
            <w:tcW w:w="54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210</w:t>
            </w:r>
          </w:p>
        </w:tc>
        <w:tc>
          <w:tcPr>
            <w:tcW w:w="1040" w:type="dxa"/>
            <w:vAlign w:val="bottom"/>
          </w:tcPr>
          <w:p>
            <w:pPr>
              <w:jc w:val="right"/>
              <w:ind w:right="171"/>
              <w:spacing w:after="0"/>
              <w:rPr>
                <w:sz w:val="20"/>
                <w:szCs w:val="20"/>
                <w:color w:val="auto"/>
              </w:rPr>
            </w:pPr>
            <w:r>
              <w:rPr>
                <w:rFonts w:ascii="Arial" w:cs="Arial" w:eastAsia="Arial" w:hAnsi="Arial"/>
                <w:sz w:val="18"/>
                <w:szCs w:val="18"/>
                <w:color w:val="auto"/>
              </w:rPr>
              <w:t>8.6</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Headquarters, other and eliminations</w:t>
            </w:r>
          </w:p>
        </w:tc>
        <w:tc>
          <w:tcPr>
            <w:tcW w:w="340" w:type="dxa"/>
            <w:vAlign w:val="bottom"/>
          </w:tcPr>
          <w:p>
            <w:pPr>
              <w:spacing w:after="0"/>
              <w:rPr>
                <w:sz w:val="23"/>
                <w:szCs w:val="23"/>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(154)</w:t>
            </w:r>
          </w:p>
        </w:tc>
        <w:tc>
          <w:tcPr>
            <w:tcW w:w="64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(155)</w:t>
            </w:r>
          </w:p>
        </w:tc>
        <w:tc>
          <w:tcPr>
            <w:tcW w:w="54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w:t>
            </w:r>
          </w:p>
        </w:tc>
        <w:tc>
          <w:tcPr>
            <w:tcW w:w="1040" w:type="dxa"/>
            <w:vAlign w:val="bottom"/>
          </w:tcPr>
          <w:p>
            <w:pPr>
              <w:jc w:val="right"/>
              <w:ind w:right="171"/>
              <w:spacing w:after="0"/>
              <w:rPr>
                <w:sz w:val="20"/>
                <w:szCs w:val="20"/>
                <w:color w:val="auto"/>
              </w:rPr>
            </w:pPr>
            <w:r>
              <w:rPr>
                <w:rFonts w:ascii="Arial" w:cs="Arial" w:eastAsia="Arial" w:hAnsi="Arial"/>
                <w:sz w:val="18"/>
                <w:szCs w:val="18"/>
                <w:color w:val="auto"/>
              </w:rPr>
              <w:t>NM</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14"/>
              <w:spacing w:after="0"/>
              <w:rPr>
                <w:sz w:val="20"/>
                <w:szCs w:val="20"/>
                <w:color w:val="auto"/>
              </w:rPr>
            </w:pPr>
            <w:r>
              <w:rPr>
                <w:rFonts w:ascii="Arial" w:cs="Arial" w:eastAsia="Arial" w:hAnsi="Arial"/>
                <w:sz w:val="18"/>
                <w:szCs w:val="18"/>
                <w:b w:val="1"/>
                <w:bCs w:val="1"/>
                <w:color w:val="auto"/>
              </w:rPr>
              <w:t>17,843</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b w:val="1"/>
                <w:bCs w:val="1"/>
                <w:color w:val="auto"/>
              </w:rPr>
              <w:t>16,171</w:t>
            </w:r>
          </w:p>
        </w:tc>
        <w:tc>
          <w:tcPr>
            <w:tcW w:w="54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b w:val="1"/>
                <w:bCs w:val="1"/>
                <w:color w:val="auto"/>
              </w:rPr>
              <w:t>1,672</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10.3 %</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2,454</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2,170</w:t>
            </w:r>
          </w:p>
        </w:tc>
        <w:tc>
          <w:tcPr>
            <w:tcW w:w="5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284</w:t>
            </w:r>
          </w:p>
        </w:tc>
        <w:tc>
          <w:tcPr>
            <w:tcW w:w="1040" w:type="dxa"/>
            <w:vAlign w:val="bottom"/>
          </w:tcPr>
          <w:p>
            <w:pPr>
              <w:jc w:val="right"/>
              <w:spacing w:after="0"/>
              <w:rPr>
                <w:sz w:val="20"/>
                <w:szCs w:val="20"/>
                <w:color w:val="auto"/>
              </w:rPr>
            </w:pPr>
            <w:r>
              <w:rPr>
                <w:rFonts w:ascii="Arial" w:cs="Arial" w:eastAsia="Arial" w:hAnsi="Arial"/>
                <w:sz w:val="18"/>
                <w:szCs w:val="18"/>
                <w:color w:val="auto"/>
              </w:rPr>
              <w:t>13.1 %</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340" w:type="dxa"/>
            <w:vAlign w:val="bottom"/>
          </w:tcPr>
          <w:p>
            <w:pPr>
              <w:spacing w:after="0"/>
              <w:rPr>
                <w:sz w:val="23"/>
                <w:szCs w:val="23"/>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924</w:t>
            </w:r>
          </w:p>
        </w:tc>
        <w:tc>
          <w:tcPr>
            <w:tcW w:w="64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738</w:t>
            </w:r>
          </w:p>
        </w:tc>
        <w:tc>
          <w:tcPr>
            <w:tcW w:w="54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186</w:t>
            </w:r>
          </w:p>
        </w:tc>
        <w:tc>
          <w:tcPr>
            <w:tcW w:w="1040" w:type="dxa"/>
            <w:vAlign w:val="bottom"/>
          </w:tcPr>
          <w:p>
            <w:pPr>
              <w:jc w:val="right"/>
              <w:ind w:right="171"/>
              <w:spacing w:after="0"/>
              <w:rPr>
                <w:sz w:val="20"/>
                <w:szCs w:val="20"/>
                <w:color w:val="auto"/>
              </w:rPr>
            </w:pPr>
            <w:r>
              <w:rPr>
                <w:rFonts w:ascii="Arial" w:cs="Arial" w:eastAsia="Arial" w:hAnsi="Arial"/>
                <w:sz w:val="18"/>
                <w:szCs w:val="18"/>
                <w:color w:val="auto"/>
              </w:rPr>
              <w:t>25.2</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340" w:type="dxa"/>
            <w:vAlign w:val="bottom"/>
          </w:tcPr>
          <w:p>
            <w:pPr>
              <w:spacing w:after="0"/>
              <w:rPr>
                <w:sz w:val="23"/>
                <w:szCs w:val="23"/>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341</w:t>
            </w:r>
          </w:p>
        </w:tc>
        <w:tc>
          <w:tcPr>
            <w:tcW w:w="64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658</w:t>
            </w:r>
          </w:p>
        </w:tc>
        <w:tc>
          <w:tcPr>
            <w:tcW w:w="54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(317)</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(48.2)</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340" w:type="dxa"/>
            <w:vAlign w:val="bottom"/>
          </w:tcPr>
          <w:p>
            <w:pPr>
              <w:spacing w:after="0"/>
              <w:rPr>
                <w:sz w:val="23"/>
                <w:szCs w:val="23"/>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1,064</w:t>
            </w:r>
          </w:p>
        </w:tc>
        <w:tc>
          <w:tcPr>
            <w:tcW w:w="64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948</w:t>
            </w:r>
          </w:p>
        </w:tc>
        <w:tc>
          <w:tcPr>
            <w:tcW w:w="54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116</w:t>
            </w:r>
          </w:p>
        </w:tc>
        <w:tc>
          <w:tcPr>
            <w:tcW w:w="1040" w:type="dxa"/>
            <w:vAlign w:val="bottom"/>
          </w:tcPr>
          <w:p>
            <w:pPr>
              <w:jc w:val="right"/>
              <w:ind w:right="171"/>
              <w:spacing w:after="0"/>
              <w:rPr>
                <w:sz w:val="20"/>
                <w:szCs w:val="20"/>
                <w:color w:val="auto"/>
              </w:rPr>
            </w:pPr>
            <w:r>
              <w:rPr>
                <w:rFonts w:ascii="Arial" w:cs="Arial" w:eastAsia="Arial" w:hAnsi="Arial"/>
                <w:sz w:val="18"/>
                <w:szCs w:val="18"/>
                <w:color w:val="auto"/>
              </w:rPr>
              <w:t>12.3</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Headquarters, other and eliminations</w:t>
            </w:r>
          </w:p>
        </w:tc>
        <w:tc>
          <w:tcPr>
            <w:tcW w:w="340" w:type="dxa"/>
            <w:vAlign w:val="bottom"/>
          </w:tcPr>
          <w:p>
            <w:pPr>
              <w:spacing w:after="0"/>
              <w:rPr>
                <w:sz w:val="23"/>
                <w:szCs w:val="23"/>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(338)</w:t>
            </w:r>
          </w:p>
        </w:tc>
        <w:tc>
          <w:tcPr>
            <w:tcW w:w="64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(421)</w:t>
            </w:r>
          </w:p>
        </w:tc>
        <w:tc>
          <w:tcPr>
            <w:tcW w:w="54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83</w:t>
            </w:r>
          </w:p>
        </w:tc>
        <w:tc>
          <w:tcPr>
            <w:tcW w:w="1040" w:type="dxa"/>
            <w:vAlign w:val="bottom"/>
          </w:tcPr>
          <w:p>
            <w:pPr>
              <w:jc w:val="right"/>
              <w:ind w:right="171"/>
              <w:spacing w:after="0"/>
              <w:rPr>
                <w:sz w:val="20"/>
                <w:szCs w:val="20"/>
                <w:color w:val="auto"/>
              </w:rPr>
            </w:pPr>
            <w:r>
              <w:rPr>
                <w:rFonts w:ascii="Arial" w:cs="Arial" w:eastAsia="Arial" w:hAnsi="Arial"/>
                <w:sz w:val="18"/>
                <w:szCs w:val="18"/>
                <w:color w:val="auto"/>
              </w:rPr>
              <w:t>NM</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14"/>
              <w:spacing w:after="0"/>
              <w:rPr>
                <w:sz w:val="20"/>
                <w:szCs w:val="20"/>
                <w:color w:val="auto"/>
              </w:rPr>
            </w:pPr>
            <w:r>
              <w:rPr>
                <w:rFonts w:ascii="Arial" w:cs="Arial" w:eastAsia="Arial" w:hAnsi="Arial"/>
                <w:sz w:val="18"/>
                <w:szCs w:val="18"/>
                <w:b w:val="1"/>
                <w:bCs w:val="1"/>
                <w:color w:val="auto"/>
              </w:rPr>
              <w:t>4,445</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b w:val="1"/>
                <w:bCs w:val="1"/>
                <w:color w:val="auto"/>
              </w:rPr>
              <w:t>4,093</w:t>
            </w:r>
          </w:p>
        </w:tc>
        <w:tc>
          <w:tcPr>
            <w:tcW w:w="54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b w:val="1"/>
                <w:bCs w:val="1"/>
                <w:color w:val="auto"/>
              </w:rPr>
              <w:t>352</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8.6 %</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Networks Segment Results of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20" w:type="dxa"/>
            <w:vAlign w:val="bottom"/>
          </w:tcPr>
          <w:p>
            <w:pPr>
              <w:jc w:val="center"/>
              <w:ind w:left="534"/>
              <w:spacing w:after="0"/>
              <w:rPr>
                <w:sz w:val="20"/>
                <w:szCs w:val="20"/>
                <w:color w:val="auto"/>
              </w:rPr>
            </w:pPr>
            <w:r>
              <w:rPr>
                <w:rFonts w:ascii="Arial" w:cs="Arial" w:eastAsia="Arial" w:hAnsi="Arial"/>
                <w:sz w:val="14"/>
                <w:szCs w:val="14"/>
                <w:color w:val="auto"/>
                <w:w w:val="90"/>
              </w:rPr>
              <w:t>Increase/</w:t>
            </w:r>
          </w:p>
        </w:tc>
        <w:tc>
          <w:tcPr>
            <w:tcW w:w="1040" w:type="dxa"/>
            <w:vAlign w:val="bottom"/>
          </w:tcPr>
          <w:p>
            <w:pPr>
              <w:spacing w:after="0"/>
              <w:rPr>
                <w:sz w:val="14"/>
                <w:szCs w:val="14"/>
                <w:color w:val="auto"/>
              </w:rPr>
            </w:pPr>
          </w:p>
        </w:tc>
      </w:tr>
      <w:tr>
        <w:trPr>
          <w:trHeight w:val="188"/>
        </w:trPr>
        <w:tc>
          <w:tcPr>
            <w:tcW w:w="49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354"/>
              <w:spacing w:after="0"/>
              <w:rPr>
                <w:sz w:val="20"/>
                <w:szCs w:val="20"/>
                <w:color w:val="auto"/>
              </w:rPr>
            </w:pPr>
            <w:r>
              <w:rPr>
                <w:rFonts w:ascii="Arial" w:cs="Arial" w:eastAsia="Arial" w:hAnsi="Arial"/>
                <w:sz w:val="14"/>
                <w:szCs w:val="14"/>
                <w:color w:val="auto"/>
              </w:rPr>
              <w:t>June 30</w:t>
            </w:r>
          </w:p>
        </w:tc>
        <w:tc>
          <w:tcPr>
            <w:tcW w:w="10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left="554"/>
              <w:spacing w:after="0"/>
              <w:rPr>
                <w:sz w:val="20"/>
                <w:szCs w:val="20"/>
                <w:color w:val="auto"/>
              </w:rPr>
            </w:pPr>
            <w:r>
              <w:rPr>
                <w:rFonts w:ascii="Arial" w:cs="Arial" w:eastAsia="Arial" w:hAnsi="Arial"/>
                <w:sz w:val="14"/>
                <w:szCs w:val="14"/>
                <w:color w:val="auto"/>
                <w:w w:val="89"/>
              </w:rPr>
              <w:t>(Decrease)</w:t>
            </w:r>
          </w:p>
        </w:tc>
        <w:tc>
          <w:tcPr>
            <w:tcW w:w="104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color w:val="auto"/>
              </w:rPr>
              <w:t>2018</w:t>
            </w:r>
          </w:p>
        </w:tc>
        <w:tc>
          <w:tcPr>
            <w:tcW w:w="8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color w:val="auto"/>
                <w:w w:val="96"/>
              </w:rPr>
              <w:t>2017</w:t>
            </w:r>
          </w:p>
        </w:tc>
        <w:tc>
          <w:tcPr>
            <w:tcW w:w="5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94"/>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color w:val="auto"/>
              </w:rPr>
              <w:t>%</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Distribution</w:t>
            </w:r>
          </w:p>
        </w:tc>
        <w:tc>
          <w:tcPr>
            <w:tcW w:w="360" w:type="dxa"/>
            <w:vAlign w:val="bottom"/>
            <w:gridSpan w:val="2"/>
          </w:tcPr>
          <w:p>
            <w:pPr>
              <w:jc w:val="right"/>
              <w:ind w:right="26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1,684</w:t>
            </w:r>
          </w:p>
        </w:tc>
        <w:tc>
          <w:tcPr>
            <w:tcW w:w="840" w:type="dxa"/>
            <w:vAlign w:val="bottom"/>
          </w:tcPr>
          <w:p>
            <w:pPr>
              <w:jc w:val="right"/>
              <w:ind w:right="354"/>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1,550</w:t>
            </w:r>
          </w:p>
        </w:tc>
        <w:tc>
          <w:tcPr>
            <w:tcW w:w="5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94"/>
              <w:spacing w:after="0"/>
              <w:rPr>
                <w:sz w:val="20"/>
                <w:szCs w:val="20"/>
                <w:color w:val="auto"/>
              </w:rPr>
            </w:pPr>
            <w:r>
              <w:rPr>
                <w:rFonts w:ascii="Arial" w:cs="Arial" w:eastAsia="Arial" w:hAnsi="Arial"/>
                <w:sz w:val="18"/>
                <w:szCs w:val="18"/>
                <w:color w:val="auto"/>
              </w:rPr>
              <w:t>134</w:t>
            </w:r>
          </w:p>
        </w:tc>
        <w:tc>
          <w:tcPr>
            <w:tcW w:w="1040" w:type="dxa"/>
            <w:vAlign w:val="bottom"/>
          </w:tcPr>
          <w:p>
            <w:pPr>
              <w:jc w:val="right"/>
              <w:spacing w:after="0"/>
              <w:rPr>
                <w:sz w:val="20"/>
                <w:szCs w:val="20"/>
                <w:color w:val="auto"/>
              </w:rPr>
            </w:pPr>
            <w:r>
              <w:rPr>
                <w:rFonts w:ascii="Arial" w:cs="Arial" w:eastAsia="Arial" w:hAnsi="Arial"/>
                <w:sz w:val="18"/>
                <w:szCs w:val="18"/>
                <w:color w:val="auto"/>
              </w:rPr>
              <w:t>8.7 %</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938</w:t>
            </w:r>
          </w:p>
        </w:tc>
        <w:tc>
          <w:tcPr>
            <w:tcW w:w="840" w:type="dxa"/>
            <w:vAlign w:val="bottom"/>
          </w:tcPr>
          <w:p>
            <w:pPr>
              <w:spacing w:after="0"/>
              <w:rPr>
                <w:sz w:val="23"/>
                <w:szCs w:val="23"/>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906</w:t>
            </w:r>
          </w:p>
        </w:tc>
        <w:tc>
          <w:tcPr>
            <w:tcW w:w="560" w:type="dxa"/>
            <w:vAlign w:val="bottom"/>
          </w:tcPr>
          <w:p>
            <w:pPr>
              <w:spacing w:after="0"/>
              <w:rPr>
                <w:sz w:val="23"/>
                <w:szCs w:val="23"/>
                <w:color w:val="auto"/>
              </w:rPr>
            </w:pPr>
          </w:p>
        </w:tc>
        <w:tc>
          <w:tcPr>
            <w:tcW w:w="1620" w:type="dxa"/>
            <w:vAlign w:val="bottom"/>
          </w:tcPr>
          <w:p>
            <w:pPr>
              <w:jc w:val="right"/>
              <w:ind w:right="594"/>
              <w:spacing w:after="0"/>
              <w:rPr>
                <w:sz w:val="20"/>
                <w:szCs w:val="20"/>
                <w:color w:val="auto"/>
              </w:rPr>
            </w:pPr>
            <w:r>
              <w:rPr>
                <w:rFonts w:ascii="Arial" w:cs="Arial" w:eastAsia="Arial" w:hAnsi="Arial"/>
                <w:sz w:val="18"/>
                <w:szCs w:val="18"/>
                <w:color w:val="auto"/>
              </w:rPr>
              <w:t>32</w:t>
            </w:r>
          </w:p>
        </w:tc>
        <w:tc>
          <w:tcPr>
            <w:tcW w:w="1040" w:type="dxa"/>
            <w:vAlign w:val="bottom"/>
          </w:tcPr>
          <w:p>
            <w:pPr>
              <w:jc w:val="center"/>
              <w:ind w:left="212"/>
              <w:spacing w:after="0"/>
              <w:rPr>
                <w:sz w:val="20"/>
                <w:szCs w:val="20"/>
                <w:color w:val="auto"/>
              </w:rPr>
            </w:pPr>
            <w:r>
              <w:rPr>
                <w:rFonts w:ascii="Arial" w:cs="Arial" w:eastAsia="Arial" w:hAnsi="Arial"/>
                <w:sz w:val="18"/>
                <w:szCs w:val="18"/>
                <w:color w:val="auto"/>
                <w:w w:val="87"/>
              </w:rPr>
              <w:t>3.6</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Content licensing and other</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294</w:t>
            </w:r>
          </w:p>
        </w:tc>
        <w:tc>
          <w:tcPr>
            <w:tcW w:w="840" w:type="dxa"/>
            <w:vAlign w:val="bottom"/>
          </w:tcPr>
          <w:p>
            <w:pPr>
              <w:spacing w:after="0"/>
              <w:rPr>
                <w:sz w:val="23"/>
                <w:szCs w:val="23"/>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240</w:t>
            </w:r>
          </w:p>
        </w:tc>
        <w:tc>
          <w:tcPr>
            <w:tcW w:w="560" w:type="dxa"/>
            <w:vAlign w:val="bottom"/>
          </w:tcPr>
          <w:p>
            <w:pPr>
              <w:spacing w:after="0"/>
              <w:rPr>
                <w:sz w:val="23"/>
                <w:szCs w:val="23"/>
                <w:color w:val="auto"/>
              </w:rPr>
            </w:pPr>
          </w:p>
        </w:tc>
        <w:tc>
          <w:tcPr>
            <w:tcW w:w="1620" w:type="dxa"/>
            <w:vAlign w:val="bottom"/>
          </w:tcPr>
          <w:p>
            <w:pPr>
              <w:jc w:val="right"/>
              <w:ind w:right="594"/>
              <w:spacing w:after="0"/>
              <w:rPr>
                <w:sz w:val="20"/>
                <w:szCs w:val="20"/>
                <w:color w:val="auto"/>
              </w:rPr>
            </w:pPr>
            <w:r>
              <w:rPr>
                <w:rFonts w:ascii="Arial" w:cs="Arial" w:eastAsia="Arial" w:hAnsi="Arial"/>
                <w:sz w:val="18"/>
                <w:szCs w:val="18"/>
                <w:color w:val="auto"/>
              </w:rPr>
              <w:t>54</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22.5</w:t>
            </w:r>
          </w:p>
        </w:tc>
      </w:tr>
      <w:tr>
        <w:trPr>
          <w:trHeight w:val="27"/>
        </w:trPr>
        <w:tc>
          <w:tcPr>
            <w:tcW w:w="4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2,916</w:t>
            </w:r>
          </w:p>
        </w:tc>
        <w:tc>
          <w:tcPr>
            <w:tcW w:w="840" w:type="dxa"/>
            <w:vAlign w:val="bottom"/>
          </w:tcPr>
          <w:p>
            <w:pPr>
              <w:spacing w:after="0"/>
              <w:rPr>
                <w:sz w:val="20"/>
                <w:szCs w:val="20"/>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b w:val="1"/>
                <w:bCs w:val="1"/>
                <w:color w:val="auto"/>
              </w:rPr>
              <w:t>2,696</w:t>
            </w:r>
          </w:p>
        </w:tc>
        <w:tc>
          <w:tcPr>
            <w:tcW w:w="560" w:type="dxa"/>
            <w:vAlign w:val="bottom"/>
          </w:tcPr>
          <w:p>
            <w:pPr>
              <w:spacing w:after="0"/>
              <w:rPr>
                <w:sz w:val="20"/>
                <w:szCs w:val="20"/>
                <w:color w:val="auto"/>
              </w:rPr>
            </w:pPr>
          </w:p>
        </w:tc>
        <w:tc>
          <w:tcPr>
            <w:tcW w:w="1620" w:type="dxa"/>
            <w:vAlign w:val="bottom"/>
          </w:tcPr>
          <w:p>
            <w:pPr>
              <w:jc w:val="right"/>
              <w:ind w:right="594"/>
              <w:spacing w:after="0"/>
              <w:rPr>
                <w:sz w:val="20"/>
                <w:szCs w:val="20"/>
                <w:color w:val="auto"/>
              </w:rPr>
            </w:pPr>
            <w:r>
              <w:rPr>
                <w:rFonts w:ascii="Arial" w:cs="Arial" w:eastAsia="Arial" w:hAnsi="Arial"/>
                <w:sz w:val="18"/>
                <w:szCs w:val="18"/>
                <w:b w:val="1"/>
                <w:bCs w:val="1"/>
                <w:color w:val="auto"/>
              </w:rPr>
              <w:t>220</w:t>
            </w:r>
          </w:p>
        </w:tc>
        <w:tc>
          <w:tcPr>
            <w:tcW w:w="1040" w:type="dxa"/>
            <w:vAlign w:val="bottom"/>
          </w:tcPr>
          <w:p>
            <w:pPr>
              <w:jc w:val="center"/>
              <w:ind w:left="212"/>
              <w:spacing w:after="0"/>
              <w:rPr>
                <w:sz w:val="20"/>
                <w:szCs w:val="20"/>
                <w:color w:val="auto"/>
              </w:rPr>
            </w:pPr>
            <w:r>
              <w:rPr>
                <w:rFonts w:ascii="Arial" w:cs="Arial" w:eastAsia="Arial" w:hAnsi="Arial"/>
                <w:sz w:val="18"/>
                <w:szCs w:val="18"/>
                <w:b w:val="1"/>
                <w:bCs w:val="1"/>
                <w:color w:val="auto"/>
                <w:w w:val="87"/>
              </w:rPr>
              <w:t>8.2</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1,231</w:t>
            </w:r>
          </w:p>
        </w:tc>
        <w:tc>
          <w:tcPr>
            <w:tcW w:w="840" w:type="dxa"/>
            <w:vAlign w:val="bottom"/>
          </w:tcPr>
          <w:p>
            <w:pPr>
              <w:spacing w:after="0"/>
              <w:rPr>
                <w:sz w:val="23"/>
                <w:szCs w:val="23"/>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1,197</w:t>
            </w:r>
          </w:p>
        </w:tc>
        <w:tc>
          <w:tcPr>
            <w:tcW w:w="560" w:type="dxa"/>
            <w:vAlign w:val="bottom"/>
          </w:tcPr>
          <w:p>
            <w:pPr>
              <w:spacing w:after="0"/>
              <w:rPr>
                <w:sz w:val="23"/>
                <w:szCs w:val="23"/>
                <w:color w:val="auto"/>
              </w:rPr>
            </w:pPr>
          </w:p>
        </w:tc>
        <w:tc>
          <w:tcPr>
            <w:tcW w:w="1620" w:type="dxa"/>
            <w:vAlign w:val="bottom"/>
          </w:tcPr>
          <w:p>
            <w:pPr>
              <w:jc w:val="right"/>
              <w:ind w:right="594"/>
              <w:spacing w:after="0"/>
              <w:rPr>
                <w:sz w:val="20"/>
                <w:szCs w:val="20"/>
                <w:color w:val="auto"/>
              </w:rPr>
            </w:pPr>
            <w:r>
              <w:rPr>
                <w:rFonts w:ascii="Arial" w:cs="Arial" w:eastAsia="Arial" w:hAnsi="Arial"/>
                <w:sz w:val="18"/>
                <w:szCs w:val="18"/>
                <w:color w:val="auto"/>
              </w:rPr>
              <w:t>34</w:t>
            </w:r>
          </w:p>
        </w:tc>
        <w:tc>
          <w:tcPr>
            <w:tcW w:w="1040" w:type="dxa"/>
            <w:vAlign w:val="bottom"/>
          </w:tcPr>
          <w:p>
            <w:pPr>
              <w:jc w:val="center"/>
              <w:ind w:left="212"/>
              <w:spacing w:after="0"/>
              <w:rPr>
                <w:sz w:val="20"/>
                <w:szCs w:val="20"/>
                <w:color w:val="auto"/>
              </w:rPr>
            </w:pPr>
            <w:r>
              <w:rPr>
                <w:rFonts w:ascii="Arial" w:cs="Arial" w:eastAsia="Arial" w:hAnsi="Arial"/>
                <w:sz w:val="18"/>
                <w:szCs w:val="18"/>
                <w:color w:val="auto"/>
                <w:w w:val="87"/>
              </w:rPr>
              <w:t>2.8</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382</w:t>
            </w:r>
          </w:p>
        </w:tc>
        <w:tc>
          <w:tcPr>
            <w:tcW w:w="840" w:type="dxa"/>
            <w:vAlign w:val="bottom"/>
          </w:tcPr>
          <w:p>
            <w:pPr>
              <w:spacing w:after="0"/>
              <w:rPr>
                <w:sz w:val="23"/>
                <w:szCs w:val="23"/>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325</w:t>
            </w:r>
          </w:p>
        </w:tc>
        <w:tc>
          <w:tcPr>
            <w:tcW w:w="560" w:type="dxa"/>
            <w:vAlign w:val="bottom"/>
          </w:tcPr>
          <w:p>
            <w:pPr>
              <w:spacing w:after="0"/>
              <w:rPr>
                <w:sz w:val="23"/>
                <w:szCs w:val="23"/>
                <w:color w:val="auto"/>
              </w:rPr>
            </w:pPr>
          </w:p>
        </w:tc>
        <w:tc>
          <w:tcPr>
            <w:tcW w:w="1620" w:type="dxa"/>
            <w:vAlign w:val="bottom"/>
          </w:tcPr>
          <w:p>
            <w:pPr>
              <w:jc w:val="right"/>
              <w:ind w:right="594"/>
              <w:spacing w:after="0"/>
              <w:rPr>
                <w:sz w:val="20"/>
                <w:szCs w:val="20"/>
                <w:color w:val="auto"/>
              </w:rPr>
            </w:pPr>
            <w:r>
              <w:rPr>
                <w:rFonts w:ascii="Arial" w:cs="Arial" w:eastAsia="Arial" w:hAnsi="Arial"/>
                <w:sz w:val="18"/>
                <w:szCs w:val="18"/>
                <w:color w:val="auto"/>
              </w:rPr>
              <w:t>57</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17.7</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w:t>
            </w:r>
          </w:p>
        </w:tc>
        <w:tc>
          <w:tcPr>
            <w:tcW w:w="840" w:type="dxa"/>
            <w:vAlign w:val="bottom"/>
          </w:tcPr>
          <w:p>
            <w:pPr>
              <w:spacing w:after="0"/>
              <w:rPr>
                <w:sz w:val="23"/>
                <w:szCs w:val="23"/>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119</w:t>
            </w:r>
          </w:p>
        </w:tc>
        <w:tc>
          <w:tcPr>
            <w:tcW w:w="560" w:type="dxa"/>
            <w:vAlign w:val="bottom"/>
          </w:tcPr>
          <w:p>
            <w:pPr>
              <w:spacing w:after="0"/>
              <w:rPr>
                <w:sz w:val="23"/>
                <w:szCs w:val="23"/>
                <w:color w:val="auto"/>
              </w:rPr>
            </w:pPr>
          </w:p>
        </w:tc>
        <w:tc>
          <w:tcPr>
            <w:tcW w:w="1620" w:type="dxa"/>
            <w:vAlign w:val="bottom"/>
          </w:tcPr>
          <w:p>
            <w:pPr>
              <w:jc w:val="right"/>
              <w:ind w:right="534"/>
              <w:spacing w:after="0"/>
              <w:rPr>
                <w:sz w:val="20"/>
                <w:szCs w:val="20"/>
                <w:color w:val="auto"/>
              </w:rPr>
            </w:pPr>
            <w:r>
              <w:rPr>
                <w:rFonts w:ascii="Arial" w:cs="Arial" w:eastAsia="Arial" w:hAnsi="Arial"/>
                <w:sz w:val="18"/>
                <w:szCs w:val="18"/>
                <w:color w:val="auto"/>
              </w:rPr>
              <w:t>(2)</w:t>
            </w:r>
          </w:p>
        </w:tc>
        <w:tc>
          <w:tcPr>
            <w:tcW w:w="1040" w:type="dxa"/>
            <w:vAlign w:val="bottom"/>
          </w:tcPr>
          <w:p>
            <w:pPr>
              <w:jc w:val="center"/>
              <w:ind w:left="212"/>
              <w:spacing w:after="0"/>
              <w:rPr>
                <w:sz w:val="20"/>
                <w:szCs w:val="20"/>
                <w:color w:val="auto"/>
              </w:rPr>
            </w:pPr>
            <w:r>
              <w:rPr>
                <w:rFonts w:ascii="Arial" w:cs="Arial" w:eastAsia="Arial" w:hAnsi="Arial"/>
                <w:sz w:val="18"/>
                <w:szCs w:val="18"/>
                <w:color w:val="auto"/>
                <w:w w:val="91"/>
              </w:rPr>
              <w:t>(1.8)</w:t>
            </w:r>
          </w:p>
        </w:tc>
      </w:tr>
      <w:tr>
        <w:trPr>
          <w:trHeight w:val="27"/>
        </w:trPr>
        <w:tc>
          <w:tcPr>
            <w:tcW w:w="4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1,730</w:t>
            </w:r>
          </w:p>
        </w:tc>
        <w:tc>
          <w:tcPr>
            <w:tcW w:w="840" w:type="dxa"/>
            <w:vAlign w:val="bottom"/>
          </w:tcPr>
          <w:p>
            <w:pPr>
              <w:spacing w:after="0"/>
              <w:rPr>
                <w:sz w:val="20"/>
                <w:szCs w:val="20"/>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1,641</w:t>
            </w:r>
          </w:p>
        </w:tc>
        <w:tc>
          <w:tcPr>
            <w:tcW w:w="560" w:type="dxa"/>
            <w:vAlign w:val="bottom"/>
          </w:tcPr>
          <w:p>
            <w:pPr>
              <w:spacing w:after="0"/>
              <w:rPr>
                <w:sz w:val="20"/>
                <w:szCs w:val="20"/>
                <w:color w:val="auto"/>
              </w:rPr>
            </w:pPr>
          </w:p>
        </w:tc>
        <w:tc>
          <w:tcPr>
            <w:tcW w:w="1620" w:type="dxa"/>
            <w:vAlign w:val="bottom"/>
          </w:tcPr>
          <w:p>
            <w:pPr>
              <w:jc w:val="right"/>
              <w:ind w:right="594"/>
              <w:spacing w:after="0"/>
              <w:rPr>
                <w:sz w:val="20"/>
                <w:szCs w:val="20"/>
                <w:color w:val="auto"/>
              </w:rPr>
            </w:pPr>
            <w:r>
              <w:rPr>
                <w:rFonts w:ascii="Arial" w:cs="Arial" w:eastAsia="Arial" w:hAnsi="Arial"/>
                <w:sz w:val="18"/>
                <w:szCs w:val="18"/>
                <w:color w:val="auto"/>
              </w:rPr>
              <w:t>89</w:t>
            </w:r>
          </w:p>
        </w:tc>
        <w:tc>
          <w:tcPr>
            <w:tcW w:w="1040" w:type="dxa"/>
            <w:vAlign w:val="bottom"/>
          </w:tcPr>
          <w:p>
            <w:pPr>
              <w:jc w:val="center"/>
              <w:ind w:left="212"/>
              <w:spacing w:after="0"/>
              <w:rPr>
                <w:sz w:val="20"/>
                <w:szCs w:val="20"/>
                <w:color w:val="auto"/>
              </w:rPr>
            </w:pPr>
            <w:r>
              <w:rPr>
                <w:rFonts w:ascii="Arial" w:cs="Arial" w:eastAsia="Arial" w:hAnsi="Arial"/>
                <w:sz w:val="18"/>
                <w:szCs w:val="18"/>
                <w:color w:val="auto"/>
                <w:w w:val="87"/>
              </w:rPr>
              <w:t>5.4</w:t>
            </w:r>
          </w:p>
        </w:tc>
      </w:tr>
      <w:tr>
        <w:trPr>
          <w:trHeight w:val="27"/>
        </w:trPr>
        <w:tc>
          <w:tcPr>
            <w:tcW w:w="4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1,186</w:t>
            </w:r>
          </w:p>
        </w:tc>
        <w:tc>
          <w:tcPr>
            <w:tcW w:w="840" w:type="dxa"/>
            <w:vAlign w:val="bottom"/>
          </w:tcPr>
          <w:p>
            <w:pPr>
              <w:jc w:val="right"/>
              <w:ind w:right="354"/>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b w:val="1"/>
                <w:bCs w:val="1"/>
                <w:color w:val="auto"/>
              </w:rPr>
              <w:t>1,055</w:t>
            </w:r>
          </w:p>
        </w:tc>
        <w:tc>
          <w:tcPr>
            <w:tcW w:w="56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594"/>
              <w:spacing w:after="0"/>
              <w:rPr>
                <w:sz w:val="20"/>
                <w:szCs w:val="20"/>
                <w:color w:val="auto"/>
              </w:rPr>
            </w:pPr>
            <w:r>
              <w:rPr>
                <w:rFonts w:ascii="Arial" w:cs="Arial" w:eastAsia="Arial" w:hAnsi="Arial"/>
                <w:sz w:val="18"/>
                <w:szCs w:val="18"/>
                <w:b w:val="1"/>
                <w:bCs w:val="1"/>
                <w:color w:val="auto"/>
              </w:rPr>
              <w:t>131</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12.5 %</w:t>
            </w:r>
          </w:p>
        </w:tc>
      </w:tr>
      <w:tr>
        <w:trPr>
          <w:trHeight w:val="34"/>
        </w:trPr>
        <w:tc>
          <w:tcPr>
            <w:tcW w:w="4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2"/>
        </w:trPr>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jc w:val="center"/>
              <w:ind w:left="574"/>
              <w:spacing w:after="0"/>
              <w:rPr>
                <w:sz w:val="20"/>
                <w:szCs w:val="20"/>
                <w:color w:val="auto"/>
              </w:rPr>
            </w:pPr>
            <w:r>
              <w:rPr>
                <w:rFonts w:ascii="Arial" w:cs="Arial" w:eastAsia="Arial" w:hAnsi="Arial"/>
                <w:sz w:val="14"/>
                <w:szCs w:val="14"/>
                <w:color w:val="auto"/>
                <w:w w:val="90"/>
              </w:rPr>
              <w:t>Increase/</w:t>
            </w:r>
          </w:p>
        </w:tc>
        <w:tc>
          <w:tcPr>
            <w:tcW w:w="1040" w:type="dxa"/>
            <w:vAlign w:val="bottom"/>
          </w:tcPr>
          <w:p>
            <w:pPr>
              <w:spacing w:after="0"/>
              <w:rPr>
                <w:sz w:val="24"/>
                <w:szCs w:val="24"/>
                <w:color w:val="auto"/>
              </w:rPr>
            </w:pPr>
          </w:p>
        </w:tc>
      </w:tr>
      <w:tr>
        <w:trPr>
          <w:trHeight w:val="188"/>
        </w:trPr>
        <w:tc>
          <w:tcPr>
            <w:tcW w:w="4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w w:val="84"/>
              </w:rPr>
              <w:t>June 30</w:t>
            </w:r>
          </w:p>
        </w:tc>
        <w:tc>
          <w:tcPr>
            <w:tcW w:w="10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left="594"/>
              <w:spacing w:after="0"/>
              <w:rPr>
                <w:sz w:val="20"/>
                <w:szCs w:val="20"/>
                <w:color w:val="auto"/>
              </w:rPr>
            </w:pPr>
            <w:r>
              <w:rPr>
                <w:rFonts w:ascii="Arial" w:cs="Arial" w:eastAsia="Arial" w:hAnsi="Arial"/>
                <w:sz w:val="14"/>
                <w:szCs w:val="14"/>
                <w:color w:val="auto"/>
                <w:w w:val="89"/>
              </w:rPr>
              <w:t>(Decrease)</w:t>
            </w:r>
          </w:p>
        </w:tc>
        <w:tc>
          <w:tcPr>
            <w:tcW w:w="104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color w:val="auto"/>
              </w:rPr>
              <w:t>2018</w:t>
            </w:r>
          </w:p>
        </w:tc>
        <w:tc>
          <w:tcPr>
            <w:tcW w:w="8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color w:val="auto"/>
              </w:rPr>
              <w:t>2017</w:t>
            </w:r>
          </w:p>
        </w:tc>
        <w:tc>
          <w:tcPr>
            <w:tcW w:w="5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54"/>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color w:val="auto"/>
              </w:rPr>
              <w:t>%</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Distribution</w:t>
            </w: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3,571</w:t>
            </w:r>
          </w:p>
        </w:tc>
        <w:tc>
          <w:tcPr>
            <w:tcW w:w="840" w:type="dxa"/>
            <w:vAlign w:val="bottom"/>
          </w:tcPr>
          <w:p>
            <w:pPr>
              <w:jc w:val="right"/>
              <w:ind w:right="314"/>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3,112</w:t>
            </w:r>
          </w:p>
        </w:tc>
        <w:tc>
          <w:tcPr>
            <w:tcW w:w="5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54"/>
              <w:spacing w:after="0"/>
              <w:rPr>
                <w:sz w:val="20"/>
                <w:szCs w:val="20"/>
                <w:color w:val="auto"/>
              </w:rPr>
            </w:pPr>
            <w:r>
              <w:rPr>
                <w:rFonts w:ascii="Arial" w:cs="Arial" w:eastAsia="Arial" w:hAnsi="Arial"/>
                <w:sz w:val="18"/>
                <w:szCs w:val="18"/>
                <w:color w:val="auto"/>
              </w:rPr>
              <w:t>459</w:t>
            </w:r>
          </w:p>
        </w:tc>
        <w:tc>
          <w:tcPr>
            <w:tcW w:w="104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1,926</w:t>
            </w:r>
          </w:p>
        </w:tc>
        <w:tc>
          <w:tcPr>
            <w:tcW w:w="840" w:type="dxa"/>
            <w:vAlign w:val="bottom"/>
          </w:tcPr>
          <w:p>
            <w:pPr>
              <w:spacing w:after="0"/>
              <w:rPr>
                <w:sz w:val="23"/>
                <w:szCs w:val="23"/>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1,732</w:t>
            </w:r>
          </w:p>
        </w:tc>
        <w:tc>
          <w:tcPr>
            <w:tcW w:w="560" w:type="dxa"/>
            <w:vAlign w:val="bottom"/>
          </w:tcPr>
          <w:p>
            <w:pPr>
              <w:spacing w:after="0"/>
              <w:rPr>
                <w:sz w:val="23"/>
                <w:szCs w:val="23"/>
                <w:color w:val="auto"/>
              </w:rPr>
            </w:pPr>
          </w:p>
        </w:tc>
        <w:tc>
          <w:tcPr>
            <w:tcW w:w="1620" w:type="dxa"/>
            <w:vAlign w:val="bottom"/>
          </w:tcPr>
          <w:p>
            <w:pPr>
              <w:jc w:val="right"/>
              <w:ind w:right="554"/>
              <w:spacing w:after="0"/>
              <w:rPr>
                <w:sz w:val="20"/>
                <w:szCs w:val="20"/>
                <w:color w:val="auto"/>
              </w:rPr>
            </w:pPr>
            <w:r>
              <w:rPr>
                <w:rFonts w:ascii="Arial" w:cs="Arial" w:eastAsia="Arial" w:hAnsi="Arial"/>
                <w:sz w:val="18"/>
                <w:szCs w:val="18"/>
                <w:color w:val="auto"/>
              </w:rPr>
              <w:t>194</w:t>
            </w:r>
          </w:p>
        </w:tc>
        <w:tc>
          <w:tcPr>
            <w:tcW w:w="1040" w:type="dxa"/>
            <w:vAlign w:val="bottom"/>
          </w:tcPr>
          <w:p>
            <w:pPr>
              <w:jc w:val="center"/>
              <w:ind w:left="212"/>
              <w:spacing w:after="0"/>
              <w:rPr>
                <w:sz w:val="20"/>
                <w:szCs w:val="20"/>
                <w:color w:val="auto"/>
              </w:rPr>
            </w:pPr>
            <w:r>
              <w:rPr>
                <w:rFonts w:ascii="Arial" w:cs="Arial" w:eastAsia="Arial" w:hAnsi="Arial"/>
                <w:sz w:val="18"/>
                <w:szCs w:val="18"/>
                <w:color w:val="auto"/>
                <w:w w:val="85"/>
              </w:rPr>
              <w:t>11.2</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Content licensing and other</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613</w:t>
            </w:r>
          </w:p>
        </w:tc>
        <w:tc>
          <w:tcPr>
            <w:tcW w:w="840" w:type="dxa"/>
            <w:vAlign w:val="bottom"/>
          </w:tcPr>
          <w:p>
            <w:pPr>
              <w:spacing w:after="0"/>
              <w:rPr>
                <w:sz w:val="23"/>
                <w:szCs w:val="23"/>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492</w:t>
            </w:r>
          </w:p>
        </w:tc>
        <w:tc>
          <w:tcPr>
            <w:tcW w:w="560" w:type="dxa"/>
            <w:vAlign w:val="bottom"/>
          </w:tcPr>
          <w:p>
            <w:pPr>
              <w:spacing w:after="0"/>
              <w:rPr>
                <w:sz w:val="23"/>
                <w:szCs w:val="23"/>
                <w:color w:val="auto"/>
              </w:rPr>
            </w:pPr>
          </w:p>
        </w:tc>
        <w:tc>
          <w:tcPr>
            <w:tcW w:w="1620" w:type="dxa"/>
            <w:vAlign w:val="bottom"/>
          </w:tcPr>
          <w:p>
            <w:pPr>
              <w:jc w:val="right"/>
              <w:ind w:right="554"/>
              <w:spacing w:after="0"/>
              <w:rPr>
                <w:sz w:val="20"/>
                <w:szCs w:val="20"/>
                <w:color w:val="auto"/>
              </w:rPr>
            </w:pPr>
            <w:r>
              <w:rPr>
                <w:rFonts w:ascii="Arial" w:cs="Arial" w:eastAsia="Arial" w:hAnsi="Arial"/>
                <w:sz w:val="18"/>
                <w:szCs w:val="18"/>
                <w:color w:val="auto"/>
              </w:rPr>
              <w:t>121</w:t>
            </w:r>
          </w:p>
        </w:tc>
        <w:tc>
          <w:tcPr>
            <w:tcW w:w="1040" w:type="dxa"/>
            <w:vAlign w:val="bottom"/>
          </w:tcPr>
          <w:p>
            <w:pPr>
              <w:jc w:val="center"/>
              <w:ind w:left="192"/>
              <w:spacing w:after="0"/>
              <w:rPr>
                <w:sz w:val="20"/>
                <w:szCs w:val="20"/>
                <w:color w:val="auto"/>
              </w:rPr>
            </w:pPr>
            <w:r>
              <w:rPr>
                <w:rFonts w:ascii="Arial" w:cs="Arial" w:eastAsia="Arial" w:hAnsi="Arial"/>
                <w:sz w:val="18"/>
                <w:szCs w:val="18"/>
                <w:color w:val="auto"/>
                <w:w w:val="91"/>
              </w:rPr>
              <w:t>24.5</w:t>
            </w:r>
          </w:p>
        </w:tc>
      </w:tr>
      <w:tr>
        <w:trPr>
          <w:trHeight w:val="27"/>
        </w:trPr>
        <w:tc>
          <w:tcPr>
            <w:tcW w:w="4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6,110</w:t>
            </w:r>
          </w:p>
        </w:tc>
        <w:tc>
          <w:tcPr>
            <w:tcW w:w="840" w:type="dxa"/>
            <w:vAlign w:val="bottom"/>
          </w:tcPr>
          <w:p>
            <w:pPr>
              <w:spacing w:after="0"/>
              <w:rPr>
                <w:sz w:val="20"/>
                <w:szCs w:val="20"/>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b w:val="1"/>
                <w:bCs w:val="1"/>
                <w:color w:val="auto"/>
              </w:rPr>
              <w:t>5,336</w:t>
            </w:r>
          </w:p>
        </w:tc>
        <w:tc>
          <w:tcPr>
            <w:tcW w:w="560" w:type="dxa"/>
            <w:vAlign w:val="bottom"/>
          </w:tcPr>
          <w:p>
            <w:pPr>
              <w:spacing w:after="0"/>
              <w:rPr>
                <w:sz w:val="20"/>
                <w:szCs w:val="20"/>
                <w:color w:val="auto"/>
              </w:rPr>
            </w:pPr>
          </w:p>
        </w:tc>
        <w:tc>
          <w:tcPr>
            <w:tcW w:w="1620" w:type="dxa"/>
            <w:vAlign w:val="bottom"/>
          </w:tcPr>
          <w:p>
            <w:pPr>
              <w:jc w:val="right"/>
              <w:ind w:right="554"/>
              <w:spacing w:after="0"/>
              <w:rPr>
                <w:sz w:val="20"/>
                <w:szCs w:val="20"/>
                <w:color w:val="auto"/>
              </w:rPr>
            </w:pPr>
            <w:r>
              <w:rPr>
                <w:rFonts w:ascii="Arial" w:cs="Arial" w:eastAsia="Arial" w:hAnsi="Arial"/>
                <w:sz w:val="18"/>
                <w:szCs w:val="18"/>
                <w:b w:val="1"/>
                <w:bCs w:val="1"/>
                <w:color w:val="auto"/>
              </w:rPr>
              <w:t>774</w:t>
            </w:r>
          </w:p>
        </w:tc>
        <w:tc>
          <w:tcPr>
            <w:tcW w:w="1040" w:type="dxa"/>
            <w:vAlign w:val="bottom"/>
          </w:tcPr>
          <w:p>
            <w:pPr>
              <w:jc w:val="center"/>
              <w:ind w:left="192"/>
              <w:spacing w:after="0"/>
              <w:rPr>
                <w:sz w:val="20"/>
                <w:szCs w:val="20"/>
                <w:color w:val="auto"/>
              </w:rPr>
            </w:pPr>
            <w:r>
              <w:rPr>
                <w:rFonts w:ascii="Arial" w:cs="Arial" w:eastAsia="Arial" w:hAnsi="Arial"/>
                <w:sz w:val="18"/>
                <w:szCs w:val="18"/>
                <w:b w:val="1"/>
                <w:bCs w:val="1"/>
                <w:color w:val="auto"/>
                <w:w w:val="91"/>
              </w:rPr>
              <w:t>14.5</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2,672</w:t>
            </w:r>
          </w:p>
        </w:tc>
        <w:tc>
          <w:tcPr>
            <w:tcW w:w="840" w:type="dxa"/>
            <w:vAlign w:val="bottom"/>
          </w:tcPr>
          <w:p>
            <w:pPr>
              <w:spacing w:after="0"/>
              <w:rPr>
                <w:sz w:val="23"/>
                <w:szCs w:val="23"/>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2,280</w:t>
            </w:r>
          </w:p>
        </w:tc>
        <w:tc>
          <w:tcPr>
            <w:tcW w:w="560" w:type="dxa"/>
            <w:vAlign w:val="bottom"/>
          </w:tcPr>
          <w:p>
            <w:pPr>
              <w:spacing w:after="0"/>
              <w:rPr>
                <w:sz w:val="23"/>
                <w:szCs w:val="23"/>
                <w:color w:val="auto"/>
              </w:rPr>
            </w:pPr>
          </w:p>
        </w:tc>
        <w:tc>
          <w:tcPr>
            <w:tcW w:w="1620" w:type="dxa"/>
            <w:vAlign w:val="bottom"/>
          </w:tcPr>
          <w:p>
            <w:pPr>
              <w:jc w:val="right"/>
              <w:ind w:right="554"/>
              <w:spacing w:after="0"/>
              <w:rPr>
                <w:sz w:val="20"/>
                <w:szCs w:val="20"/>
                <w:color w:val="auto"/>
              </w:rPr>
            </w:pPr>
            <w:r>
              <w:rPr>
                <w:rFonts w:ascii="Arial" w:cs="Arial" w:eastAsia="Arial" w:hAnsi="Arial"/>
                <w:sz w:val="18"/>
                <w:szCs w:val="18"/>
                <w:color w:val="auto"/>
              </w:rPr>
              <w:t>392</w:t>
            </w:r>
          </w:p>
        </w:tc>
        <w:tc>
          <w:tcPr>
            <w:tcW w:w="1040" w:type="dxa"/>
            <w:vAlign w:val="bottom"/>
          </w:tcPr>
          <w:p>
            <w:pPr>
              <w:jc w:val="center"/>
              <w:ind w:left="192"/>
              <w:spacing w:after="0"/>
              <w:rPr>
                <w:sz w:val="20"/>
                <w:szCs w:val="20"/>
                <w:color w:val="auto"/>
              </w:rPr>
            </w:pPr>
            <w:r>
              <w:rPr>
                <w:rFonts w:ascii="Arial" w:cs="Arial" w:eastAsia="Arial" w:hAnsi="Arial"/>
                <w:sz w:val="18"/>
                <w:szCs w:val="18"/>
                <w:color w:val="auto"/>
                <w:w w:val="91"/>
              </w:rPr>
              <w:t>17.2</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744</w:t>
            </w:r>
          </w:p>
        </w:tc>
        <w:tc>
          <w:tcPr>
            <w:tcW w:w="840" w:type="dxa"/>
            <w:vAlign w:val="bottom"/>
          </w:tcPr>
          <w:p>
            <w:pPr>
              <w:spacing w:after="0"/>
              <w:rPr>
                <w:sz w:val="23"/>
                <w:szCs w:val="23"/>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646</w:t>
            </w:r>
          </w:p>
        </w:tc>
        <w:tc>
          <w:tcPr>
            <w:tcW w:w="560" w:type="dxa"/>
            <w:vAlign w:val="bottom"/>
          </w:tcPr>
          <w:p>
            <w:pPr>
              <w:spacing w:after="0"/>
              <w:rPr>
                <w:sz w:val="23"/>
                <w:szCs w:val="23"/>
                <w:color w:val="auto"/>
              </w:rPr>
            </w:pPr>
          </w:p>
        </w:tc>
        <w:tc>
          <w:tcPr>
            <w:tcW w:w="1620" w:type="dxa"/>
            <w:vAlign w:val="bottom"/>
          </w:tcPr>
          <w:p>
            <w:pPr>
              <w:jc w:val="right"/>
              <w:ind w:right="554"/>
              <w:spacing w:after="0"/>
              <w:rPr>
                <w:sz w:val="20"/>
                <w:szCs w:val="20"/>
                <w:color w:val="auto"/>
              </w:rPr>
            </w:pPr>
            <w:r>
              <w:rPr>
                <w:rFonts w:ascii="Arial" w:cs="Arial" w:eastAsia="Arial" w:hAnsi="Arial"/>
                <w:sz w:val="18"/>
                <w:szCs w:val="18"/>
                <w:color w:val="auto"/>
              </w:rPr>
              <w:t>98</w:t>
            </w:r>
          </w:p>
        </w:tc>
        <w:tc>
          <w:tcPr>
            <w:tcW w:w="1040" w:type="dxa"/>
            <w:vAlign w:val="bottom"/>
          </w:tcPr>
          <w:p>
            <w:pPr>
              <w:jc w:val="center"/>
              <w:ind w:left="192"/>
              <w:spacing w:after="0"/>
              <w:rPr>
                <w:sz w:val="20"/>
                <w:szCs w:val="20"/>
                <w:color w:val="auto"/>
              </w:rPr>
            </w:pPr>
            <w:r>
              <w:rPr>
                <w:rFonts w:ascii="Arial" w:cs="Arial" w:eastAsia="Arial" w:hAnsi="Arial"/>
                <w:sz w:val="18"/>
                <w:szCs w:val="18"/>
                <w:color w:val="auto"/>
                <w:w w:val="91"/>
              </w:rPr>
              <w:t>15.2</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240</w:t>
            </w:r>
          </w:p>
        </w:tc>
        <w:tc>
          <w:tcPr>
            <w:tcW w:w="840" w:type="dxa"/>
            <w:vAlign w:val="bottom"/>
          </w:tcPr>
          <w:p>
            <w:pPr>
              <w:spacing w:after="0"/>
              <w:rPr>
                <w:sz w:val="23"/>
                <w:szCs w:val="23"/>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240</w:t>
            </w:r>
          </w:p>
        </w:tc>
        <w:tc>
          <w:tcPr>
            <w:tcW w:w="560" w:type="dxa"/>
            <w:vAlign w:val="bottom"/>
          </w:tcPr>
          <w:p>
            <w:pPr>
              <w:spacing w:after="0"/>
              <w:rPr>
                <w:sz w:val="23"/>
                <w:szCs w:val="23"/>
                <w:color w:val="auto"/>
              </w:rPr>
            </w:pPr>
          </w:p>
        </w:tc>
        <w:tc>
          <w:tcPr>
            <w:tcW w:w="1620" w:type="dxa"/>
            <w:vAlign w:val="bottom"/>
          </w:tcPr>
          <w:p>
            <w:pPr>
              <w:jc w:val="right"/>
              <w:ind w:right="554"/>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0.1</w:t>
            </w:r>
          </w:p>
        </w:tc>
      </w:tr>
      <w:tr>
        <w:trPr>
          <w:trHeight w:val="27"/>
        </w:trPr>
        <w:tc>
          <w:tcPr>
            <w:tcW w:w="4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3,656</w:t>
            </w:r>
          </w:p>
        </w:tc>
        <w:tc>
          <w:tcPr>
            <w:tcW w:w="840" w:type="dxa"/>
            <w:vAlign w:val="bottom"/>
          </w:tcPr>
          <w:p>
            <w:pPr>
              <w:spacing w:after="0"/>
              <w:rPr>
                <w:sz w:val="20"/>
                <w:szCs w:val="20"/>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3,166</w:t>
            </w:r>
          </w:p>
        </w:tc>
        <w:tc>
          <w:tcPr>
            <w:tcW w:w="560" w:type="dxa"/>
            <w:vAlign w:val="bottom"/>
          </w:tcPr>
          <w:p>
            <w:pPr>
              <w:spacing w:after="0"/>
              <w:rPr>
                <w:sz w:val="20"/>
                <w:szCs w:val="20"/>
                <w:color w:val="auto"/>
              </w:rPr>
            </w:pPr>
          </w:p>
        </w:tc>
        <w:tc>
          <w:tcPr>
            <w:tcW w:w="1620" w:type="dxa"/>
            <w:vAlign w:val="bottom"/>
          </w:tcPr>
          <w:p>
            <w:pPr>
              <w:jc w:val="right"/>
              <w:ind w:right="554"/>
              <w:spacing w:after="0"/>
              <w:rPr>
                <w:sz w:val="20"/>
                <w:szCs w:val="20"/>
                <w:color w:val="auto"/>
              </w:rPr>
            </w:pPr>
            <w:r>
              <w:rPr>
                <w:rFonts w:ascii="Arial" w:cs="Arial" w:eastAsia="Arial" w:hAnsi="Arial"/>
                <w:sz w:val="18"/>
                <w:szCs w:val="18"/>
                <w:color w:val="auto"/>
              </w:rPr>
              <w:t>490</w:t>
            </w:r>
          </w:p>
        </w:tc>
        <w:tc>
          <w:tcPr>
            <w:tcW w:w="1040" w:type="dxa"/>
            <w:vAlign w:val="bottom"/>
          </w:tcPr>
          <w:p>
            <w:pPr>
              <w:jc w:val="center"/>
              <w:ind w:left="192"/>
              <w:spacing w:after="0"/>
              <w:rPr>
                <w:sz w:val="20"/>
                <w:szCs w:val="20"/>
                <w:color w:val="auto"/>
              </w:rPr>
            </w:pPr>
            <w:r>
              <w:rPr>
                <w:rFonts w:ascii="Arial" w:cs="Arial" w:eastAsia="Arial" w:hAnsi="Arial"/>
                <w:sz w:val="18"/>
                <w:szCs w:val="18"/>
                <w:color w:val="auto"/>
                <w:w w:val="91"/>
              </w:rPr>
              <w:t>15.5</w:t>
            </w:r>
          </w:p>
        </w:tc>
      </w:tr>
      <w:tr>
        <w:trPr>
          <w:trHeight w:val="27"/>
        </w:trPr>
        <w:tc>
          <w:tcPr>
            <w:tcW w:w="4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2,454</w:t>
            </w:r>
          </w:p>
        </w:tc>
        <w:tc>
          <w:tcPr>
            <w:tcW w:w="840" w:type="dxa"/>
            <w:vAlign w:val="bottom"/>
          </w:tcPr>
          <w:p>
            <w:pPr>
              <w:jc w:val="right"/>
              <w:ind w:right="314"/>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72"/>
              <w:spacing w:after="0"/>
              <w:rPr>
                <w:sz w:val="20"/>
                <w:szCs w:val="20"/>
                <w:color w:val="auto"/>
              </w:rPr>
            </w:pPr>
            <w:r>
              <w:rPr>
                <w:rFonts w:ascii="Arial" w:cs="Arial" w:eastAsia="Arial" w:hAnsi="Arial"/>
                <w:sz w:val="18"/>
                <w:szCs w:val="18"/>
                <w:b w:val="1"/>
                <w:bCs w:val="1"/>
                <w:color w:val="auto"/>
              </w:rPr>
              <w:t>2,170</w:t>
            </w:r>
          </w:p>
        </w:tc>
        <w:tc>
          <w:tcPr>
            <w:tcW w:w="5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554"/>
              <w:spacing w:after="0"/>
              <w:rPr>
                <w:sz w:val="20"/>
                <w:szCs w:val="20"/>
                <w:color w:val="auto"/>
              </w:rPr>
            </w:pPr>
            <w:r>
              <w:rPr>
                <w:rFonts w:ascii="Arial" w:cs="Arial" w:eastAsia="Arial" w:hAnsi="Arial"/>
                <w:sz w:val="18"/>
                <w:szCs w:val="18"/>
                <w:b w:val="1"/>
                <w:bCs w:val="1"/>
                <w:color w:val="auto"/>
              </w:rPr>
              <w:t>284</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13.1%</w:t>
            </w:r>
          </w:p>
        </w:tc>
      </w:tr>
      <w:tr>
        <w:trPr>
          <w:trHeight w:val="34"/>
        </w:trPr>
        <w:tc>
          <w:tcPr>
            <w:tcW w:w="4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75" w:right="239"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75" w:right="23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Segment—Revenue</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Cable Networks revenue increased for the three months ended June 30, 2018 compared to the same period in 2017 due to increases in distribution revenue, content licensing and other revenue and advertising revenue. The increase in distribution revenue was primarily due to increases in the contractual rates charged under distribution agreements and the timing of contract renewals, which were partially offset by a moderating decline in the number of subscribers at our cable networks. The increase in content licensing and other revenue was primarily due to the timing of content provided under our licensing agreements. The increase in advertising revenue was primarily due to higher prices for advertising units sold, which was partially offset by the impact of continued declines in audience ratings at our networks.</w:t>
      </w:r>
    </w:p>
    <w:p>
      <w:pPr>
        <w:spacing w:after="0" w:line="13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Cable Networks revenue increased for the six months ended June 30, 2018 compared to the same period in 2017 due to increases in distribution revenue, advertising revenue and content licensing and other revenue. The increase in distribution revenue was primarily due to $236 million of revenue associated with our broadcast of the 2018 PyeongChang Olympics. The increase in distribution revenue was also due to increases in the contractual rates charged under distribution agreements and the timing of contract renewals, which were partially offset by a moderating decline in the number of subscribers at our cable networks. The increase in advertising revenue was primarily due to $142 million of revenue associated with our broadcast of the 2018 PyeongChang Olympics. The increase in advertising revenue was also due to higher prices for advertising units sold, which was partially offset by the impact of continued declines in audience ratings at our networks. The increase in content licensing and other revenue was primarily due to the timing of content provided under our licensing agreements. Excluding $378 million of revenue associated with our broadcast of the 2018 PyeongChang Olympics, Cable Networks segment revenue increased 7.4% for the six months ended June 30, 2018.</w:t>
      </w:r>
    </w:p>
    <w:p>
      <w:pPr>
        <w:spacing w:after="0" w:line="12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both the three and six months ended June 30, 2018, 14% of our Cable Networks segment revenue was generated from our Cable Communications segment. For both the three and six months ended June 30, 2017, 15% of our Cable Networks segment revenue was generated from our Cable Communications segment. These amounts are eliminated in our condensed consolidated financial statements but are included in the amounts presented above.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Segment—Operating Costs and Expenses</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Operating costs and expenses increased for the three months ended June 30, 2018 compared to the same period in 2017 primarily due to increases in other operating and administrative costs and programming and production costs. The increase in other operating and administrative costs was primarily due to costs related to our various digital properties, employee-related costs and costs related to our international channels. The increase in programming and production costs was primarily due to our continued investment in original programming and an increase in studio production costs.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costs and expenses increased for the six months ended June 30, 2018 compared to the same period in 2017 primarily due to increases in programming and production costs and other operating and administrative costs. The increase in programming and production costs was driven by our broadcast of the 2018 PyeongChang Olympics, as well as costs related to our continued investment in original programming and an increase in studio production costs. The increase in other operating and administrative costs was primarily due to employee-related costs and costs of our various digital properties and international channels.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Broadcast Television Segment Results of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40" w:type="dxa"/>
            <w:vAlign w:val="bottom"/>
          </w:tcPr>
          <w:p>
            <w:pPr>
              <w:jc w:val="right"/>
              <w:ind w:right="154"/>
              <w:spacing w:after="0"/>
              <w:rPr>
                <w:sz w:val="20"/>
                <w:szCs w:val="20"/>
                <w:color w:val="auto"/>
              </w:rPr>
            </w:pPr>
            <w:r>
              <w:rPr>
                <w:rFonts w:ascii="Arial" w:cs="Arial" w:eastAsia="Arial" w:hAnsi="Arial"/>
                <w:sz w:val="14"/>
                <w:szCs w:val="14"/>
                <w:color w:val="auto"/>
              </w:rPr>
              <w:t>Increase/</w:t>
            </w:r>
          </w:p>
        </w:tc>
        <w:tc>
          <w:tcPr>
            <w:tcW w:w="1040" w:type="dxa"/>
            <w:vAlign w:val="bottom"/>
          </w:tcPr>
          <w:p>
            <w:pPr>
              <w:spacing w:after="0"/>
              <w:rPr>
                <w:sz w:val="14"/>
                <w:szCs w:val="14"/>
                <w:color w:val="auto"/>
              </w:rPr>
            </w:pPr>
          </w:p>
        </w:tc>
      </w:tr>
      <w:tr>
        <w:trPr>
          <w:trHeight w:val="188"/>
        </w:trPr>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w w:val="84"/>
              </w:rPr>
              <w:t>June 30</w:t>
            </w: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(Decrease)</w:t>
            </w:r>
          </w:p>
        </w:tc>
        <w:tc>
          <w:tcPr>
            <w:tcW w:w="104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2018</w:t>
            </w:r>
          </w:p>
        </w:tc>
        <w:tc>
          <w:tcPr>
            <w:tcW w:w="8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w w:val="96"/>
              </w:rPr>
              <w:t>2017</w:t>
            </w:r>
          </w:p>
        </w:tc>
        <w:tc>
          <w:tcPr>
            <w:tcW w:w="5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194"/>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color w:val="auto"/>
              </w:rPr>
              <w:t>%</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1,387</w:t>
            </w:r>
          </w:p>
        </w:tc>
        <w:tc>
          <w:tcPr>
            <w:tcW w:w="88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1,270</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117</w:t>
            </w:r>
          </w:p>
        </w:tc>
        <w:tc>
          <w:tcPr>
            <w:tcW w:w="1040" w:type="dxa"/>
            <w:vAlign w:val="bottom"/>
          </w:tcPr>
          <w:p>
            <w:pPr>
              <w:jc w:val="right"/>
              <w:spacing w:after="0"/>
              <w:rPr>
                <w:sz w:val="20"/>
                <w:szCs w:val="20"/>
                <w:color w:val="auto"/>
              </w:rPr>
            </w:pPr>
            <w:r>
              <w:rPr>
                <w:rFonts w:ascii="Arial" w:cs="Arial" w:eastAsia="Arial" w:hAnsi="Arial"/>
                <w:sz w:val="18"/>
                <w:szCs w:val="18"/>
                <w:color w:val="auto"/>
              </w:rPr>
              <w:t>9.2 %</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481</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523</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(42)</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(8.1)</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Distribution and other</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523</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448</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75</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16.8</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2,391</w:t>
            </w:r>
          </w:p>
        </w:tc>
        <w:tc>
          <w:tcPr>
            <w:tcW w:w="88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2,241</w:t>
            </w:r>
          </w:p>
        </w:tc>
        <w:tc>
          <w:tcPr>
            <w:tcW w:w="560" w:type="dxa"/>
            <w:vAlign w:val="bottom"/>
          </w:tcPr>
          <w:p>
            <w:pPr>
              <w:spacing w:after="0"/>
              <w:rPr>
                <w:sz w:val="20"/>
                <w:szCs w:val="20"/>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b w:val="1"/>
                <w:bCs w:val="1"/>
                <w:color w:val="auto"/>
              </w:rPr>
              <w:t>150</w:t>
            </w:r>
          </w:p>
        </w:tc>
        <w:tc>
          <w:tcPr>
            <w:tcW w:w="1040" w:type="dxa"/>
            <w:vAlign w:val="bottom"/>
          </w:tcPr>
          <w:p>
            <w:pPr>
              <w:jc w:val="right"/>
              <w:ind w:right="172"/>
              <w:spacing w:after="0"/>
              <w:rPr>
                <w:sz w:val="20"/>
                <w:szCs w:val="20"/>
                <w:color w:val="auto"/>
              </w:rPr>
            </w:pPr>
            <w:r>
              <w:rPr>
                <w:rFonts w:ascii="Arial" w:cs="Arial" w:eastAsia="Arial" w:hAnsi="Arial"/>
                <w:sz w:val="18"/>
                <w:szCs w:val="18"/>
                <w:b w:val="1"/>
                <w:bCs w:val="1"/>
                <w:color w:val="auto"/>
              </w:rPr>
              <w:t>6.7</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1,488</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1,352</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136</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10.1</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375</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349</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26</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7.1</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124</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(13)</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(9.6)</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1,974</w:t>
            </w:r>
          </w:p>
        </w:tc>
        <w:tc>
          <w:tcPr>
            <w:tcW w:w="88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1,825</w:t>
            </w:r>
          </w:p>
        </w:tc>
        <w:tc>
          <w:tcPr>
            <w:tcW w:w="560" w:type="dxa"/>
            <w:vAlign w:val="bottom"/>
          </w:tcPr>
          <w:p>
            <w:pPr>
              <w:spacing w:after="0"/>
              <w:rPr>
                <w:sz w:val="20"/>
                <w:szCs w:val="20"/>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149</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8.2</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417</w:t>
            </w:r>
          </w:p>
        </w:tc>
        <w:tc>
          <w:tcPr>
            <w:tcW w:w="880" w:type="dxa"/>
            <w:vAlign w:val="bottom"/>
          </w:tcPr>
          <w:p>
            <w:pPr>
              <w:jc w:val="right"/>
              <w:ind w:right="356"/>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416</w:t>
            </w:r>
          </w:p>
        </w:tc>
        <w:tc>
          <w:tcPr>
            <w:tcW w:w="5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b w:val="1"/>
                <w:bCs w:val="1"/>
                <w:color w:val="auto"/>
              </w:rPr>
              <w:t>1</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0.2 %</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621"/>
        </w:trPr>
        <w:tc>
          <w:tcPr>
            <w:tcW w:w="4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433"/>
              <w:spacing w:after="0"/>
              <w:rPr>
                <w:sz w:val="20"/>
                <w:szCs w:val="20"/>
                <w:color w:val="auto"/>
              </w:rPr>
            </w:pPr>
            <w:r>
              <w:rPr>
                <w:rFonts w:ascii="Arial" w:cs="Arial" w:eastAsia="Arial" w:hAnsi="Arial"/>
                <w:sz w:val="18"/>
                <w:szCs w:val="18"/>
                <w:color w:val="auto"/>
              </w:rPr>
              <w:t>38</w:t>
            </w: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75"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40" w:type="dxa"/>
            <w:vAlign w:val="bottom"/>
          </w:tcPr>
          <w:p>
            <w:pPr>
              <w:jc w:val="right"/>
              <w:ind w:right="154"/>
              <w:spacing w:after="0"/>
              <w:rPr>
                <w:sz w:val="20"/>
                <w:szCs w:val="20"/>
                <w:color w:val="auto"/>
              </w:rPr>
            </w:pPr>
            <w:r>
              <w:rPr>
                <w:rFonts w:ascii="Arial" w:cs="Arial" w:eastAsia="Arial" w:hAnsi="Arial"/>
                <w:sz w:val="14"/>
                <w:szCs w:val="14"/>
                <w:color w:val="auto"/>
              </w:rPr>
              <w:t>Increase/</w:t>
            </w:r>
          </w:p>
        </w:tc>
        <w:tc>
          <w:tcPr>
            <w:tcW w:w="1040" w:type="dxa"/>
            <w:vAlign w:val="bottom"/>
          </w:tcPr>
          <w:p>
            <w:pPr>
              <w:spacing w:after="0"/>
              <w:rPr>
                <w:sz w:val="14"/>
                <w:szCs w:val="14"/>
                <w:color w:val="auto"/>
              </w:rPr>
            </w:pPr>
          </w:p>
        </w:tc>
      </w:tr>
      <w:tr>
        <w:trPr>
          <w:trHeight w:val="188"/>
        </w:trPr>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color w:val="auto"/>
                <w:w w:val="84"/>
              </w:rPr>
              <w:t>June 30</w:t>
            </w:r>
          </w:p>
        </w:tc>
        <w:tc>
          <w:tcPr>
            <w:tcW w:w="10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(Decrease)</w:t>
            </w:r>
          </w:p>
        </w:tc>
        <w:tc>
          <w:tcPr>
            <w:tcW w:w="104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2018</w:t>
            </w:r>
          </w:p>
        </w:tc>
        <w:tc>
          <w:tcPr>
            <w:tcW w:w="8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rPr>
              <w:t>2017</w:t>
            </w:r>
          </w:p>
        </w:tc>
        <w:tc>
          <w:tcPr>
            <w:tcW w:w="5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194"/>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color w:val="auto"/>
              </w:rPr>
              <w:t>%</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3,752</w:t>
            </w:r>
          </w:p>
        </w:tc>
        <w:tc>
          <w:tcPr>
            <w:tcW w:w="84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2,549</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1,203</w:t>
            </w:r>
          </w:p>
        </w:tc>
        <w:tc>
          <w:tcPr>
            <w:tcW w:w="1040" w:type="dxa"/>
            <w:vAlign w:val="bottom"/>
          </w:tcPr>
          <w:p>
            <w:pPr>
              <w:jc w:val="right"/>
              <w:spacing w:after="0"/>
              <w:rPr>
                <w:sz w:val="20"/>
                <w:szCs w:val="20"/>
                <w:color w:val="auto"/>
              </w:rPr>
            </w:pPr>
            <w:r>
              <w:rPr>
                <w:rFonts w:ascii="Arial" w:cs="Arial" w:eastAsia="Arial" w:hAnsi="Arial"/>
                <w:sz w:val="18"/>
                <w:szCs w:val="18"/>
                <w:color w:val="auto"/>
              </w:rPr>
              <w:t>47.2 %</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1,003</w:t>
            </w:r>
          </w:p>
        </w:tc>
        <w:tc>
          <w:tcPr>
            <w:tcW w:w="840" w:type="dxa"/>
            <w:vAlign w:val="bottom"/>
          </w:tcPr>
          <w:p>
            <w:pPr>
              <w:spacing w:after="0"/>
              <w:rPr>
                <w:sz w:val="23"/>
                <w:szCs w:val="23"/>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1,026</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(23)</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(2.2)</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Distribution and other</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1,133</w:t>
            </w:r>
          </w:p>
        </w:tc>
        <w:tc>
          <w:tcPr>
            <w:tcW w:w="840" w:type="dxa"/>
            <w:vAlign w:val="bottom"/>
          </w:tcPr>
          <w:p>
            <w:pPr>
              <w:spacing w:after="0"/>
              <w:rPr>
                <w:sz w:val="23"/>
                <w:szCs w:val="23"/>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874</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259</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29.5</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5,888</w:t>
            </w:r>
          </w:p>
        </w:tc>
        <w:tc>
          <w:tcPr>
            <w:tcW w:w="840" w:type="dxa"/>
            <w:vAlign w:val="bottom"/>
          </w:tcPr>
          <w:p>
            <w:pPr>
              <w:spacing w:after="0"/>
              <w:rPr>
                <w:sz w:val="20"/>
                <w:szCs w:val="20"/>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b w:val="1"/>
                <w:bCs w:val="1"/>
                <w:color w:val="auto"/>
              </w:rPr>
              <w:t>4,449</w:t>
            </w:r>
          </w:p>
        </w:tc>
        <w:tc>
          <w:tcPr>
            <w:tcW w:w="560" w:type="dxa"/>
            <w:vAlign w:val="bottom"/>
          </w:tcPr>
          <w:p>
            <w:pPr>
              <w:spacing w:after="0"/>
              <w:rPr>
                <w:sz w:val="20"/>
                <w:szCs w:val="20"/>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b w:val="1"/>
                <w:bCs w:val="1"/>
                <w:color w:val="auto"/>
              </w:rPr>
              <w:t>1,439</w:t>
            </w:r>
          </w:p>
        </w:tc>
        <w:tc>
          <w:tcPr>
            <w:tcW w:w="1040" w:type="dxa"/>
            <w:vAlign w:val="bottom"/>
          </w:tcPr>
          <w:p>
            <w:pPr>
              <w:jc w:val="right"/>
              <w:ind w:right="172"/>
              <w:spacing w:after="0"/>
              <w:rPr>
                <w:sz w:val="20"/>
                <w:szCs w:val="20"/>
                <w:color w:val="auto"/>
              </w:rPr>
            </w:pPr>
            <w:r>
              <w:rPr>
                <w:rFonts w:ascii="Arial" w:cs="Arial" w:eastAsia="Arial" w:hAnsi="Arial"/>
                <w:sz w:val="18"/>
                <w:szCs w:val="18"/>
                <w:b w:val="1"/>
                <w:bCs w:val="1"/>
                <w:color w:val="auto"/>
              </w:rPr>
              <w:t>32.3</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3,964</w:t>
            </w:r>
          </w:p>
        </w:tc>
        <w:tc>
          <w:tcPr>
            <w:tcW w:w="840" w:type="dxa"/>
            <w:vAlign w:val="bottom"/>
          </w:tcPr>
          <w:p>
            <w:pPr>
              <w:spacing w:after="0"/>
              <w:rPr>
                <w:sz w:val="23"/>
                <w:szCs w:val="23"/>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2,784</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1,180</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42.4</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756</w:t>
            </w:r>
          </w:p>
        </w:tc>
        <w:tc>
          <w:tcPr>
            <w:tcW w:w="840" w:type="dxa"/>
            <w:vAlign w:val="bottom"/>
          </w:tcPr>
          <w:p>
            <w:pPr>
              <w:spacing w:after="0"/>
              <w:rPr>
                <w:sz w:val="23"/>
                <w:szCs w:val="23"/>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685</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71</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10.1</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244</w:t>
            </w:r>
          </w:p>
        </w:tc>
        <w:tc>
          <w:tcPr>
            <w:tcW w:w="840" w:type="dxa"/>
            <w:vAlign w:val="bottom"/>
          </w:tcPr>
          <w:p>
            <w:pPr>
              <w:spacing w:after="0"/>
              <w:rPr>
                <w:sz w:val="23"/>
                <w:szCs w:val="23"/>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242</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2</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1.2</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4,964</w:t>
            </w:r>
          </w:p>
        </w:tc>
        <w:tc>
          <w:tcPr>
            <w:tcW w:w="840" w:type="dxa"/>
            <w:vAlign w:val="bottom"/>
          </w:tcPr>
          <w:p>
            <w:pPr>
              <w:spacing w:after="0"/>
              <w:rPr>
                <w:sz w:val="20"/>
                <w:szCs w:val="20"/>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3,711</w:t>
            </w:r>
          </w:p>
        </w:tc>
        <w:tc>
          <w:tcPr>
            <w:tcW w:w="560" w:type="dxa"/>
            <w:vAlign w:val="bottom"/>
          </w:tcPr>
          <w:p>
            <w:pPr>
              <w:spacing w:after="0"/>
              <w:rPr>
                <w:sz w:val="20"/>
                <w:szCs w:val="20"/>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1,253</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33.7</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924</w:t>
            </w:r>
          </w:p>
        </w:tc>
        <w:tc>
          <w:tcPr>
            <w:tcW w:w="840" w:type="dxa"/>
            <w:vAlign w:val="bottom"/>
          </w:tcPr>
          <w:p>
            <w:pPr>
              <w:jc w:val="right"/>
              <w:ind w:right="316"/>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92"/>
              <w:spacing w:after="0"/>
              <w:rPr>
                <w:sz w:val="20"/>
                <w:szCs w:val="20"/>
                <w:color w:val="auto"/>
              </w:rPr>
            </w:pPr>
            <w:r>
              <w:rPr>
                <w:rFonts w:ascii="Arial" w:cs="Arial" w:eastAsia="Arial" w:hAnsi="Arial"/>
                <w:sz w:val="18"/>
                <w:szCs w:val="18"/>
                <w:b w:val="1"/>
                <w:bCs w:val="1"/>
                <w:color w:val="auto"/>
              </w:rPr>
              <w:t>738</w:t>
            </w:r>
          </w:p>
        </w:tc>
        <w:tc>
          <w:tcPr>
            <w:tcW w:w="5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b w:val="1"/>
                <w:bCs w:val="1"/>
                <w:color w:val="auto"/>
              </w:rPr>
              <w:t>186</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25.2 %</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Segment—Revenue</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Broadcast Television revenue increased for the three months ended June 30, 2018 compared to the same period in 2017 due to increases in advertising revenue and distribution and other revenue, which were partially offset by a decrease in content licensing revenue. The increase in advertising revenue was primarily driven by revenue associated with Telemundo's broadcast of the 2018 FIFA World Cup Russia</w:t>
      </w:r>
      <w:r>
        <w:rPr>
          <w:rFonts w:ascii="Arial" w:cs="Arial" w:eastAsia="Arial" w:hAnsi="Arial"/>
          <w:sz w:val="18"/>
          <w:szCs w:val="18"/>
          <w:i w:val="1"/>
          <w:iCs w:val="1"/>
          <w:color w:val="auto"/>
        </w:rPr>
        <w:t>™</w:t>
      </w:r>
      <w:r>
        <w:rPr>
          <w:rFonts w:ascii="Arial" w:cs="Arial" w:eastAsia="Arial" w:hAnsi="Arial"/>
          <w:sz w:val="18"/>
          <w:szCs w:val="18"/>
          <w:color w:val="auto"/>
        </w:rPr>
        <w:t xml:space="preserve"> and higher rates, which was partially offset by the impact of continued declines in audience ratings. The increase in distribution and other revenue was primarily due to increases in fees recognized under our retransmission consent agreements. The decrease in content licensing revenue was primarily due to timing of content provided under our licensing agreements.</w:t>
      </w:r>
    </w:p>
    <w:p>
      <w:pPr>
        <w:spacing w:after="0" w:line="13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Broadcast Television revenue increased for the six months ended June 30, 2018 compared to the same period in 2017 due to increases in advertising revenue and distribution and other revenue, which were partially offset by a decrease in content licensing revenue. The increase in advertising revenue was primarily due to $1.1 billion of revenue associated with our broadcasts of the 2018 PyeongChang Olympics and 2018 Super Bowl. The increase in advertising revenue was also due to revenue associated with Telemundo’s broadcast of the 2018 FIFA World Cup Russia</w:t>
      </w:r>
      <w:r>
        <w:rPr>
          <w:rFonts w:ascii="Arial" w:cs="Arial" w:eastAsia="Arial" w:hAnsi="Arial"/>
          <w:sz w:val="17"/>
          <w:szCs w:val="17"/>
          <w:i w:val="1"/>
          <w:iCs w:val="1"/>
          <w:color w:val="auto"/>
        </w:rPr>
        <w:t>™</w:t>
      </w:r>
      <w:r>
        <w:rPr>
          <w:rFonts w:ascii="Arial" w:cs="Arial" w:eastAsia="Arial" w:hAnsi="Arial"/>
          <w:sz w:val="17"/>
          <w:szCs w:val="17"/>
          <w:color w:val="auto"/>
        </w:rPr>
        <w:t xml:space="preserve"> and higher rates, which was partially offset by the impact of continued declines in audience ratings. The increase in distribution and other revenue was primarily due to increases in fees recognized under our retransmission consent agreements. The increase in distribution and other revenue was also due to $112 million of revenue associated with our broadcast of the 2018 PyeongChang Olympics. The decrease in content licensing revenue was primarily due to the timing of content provided under our licensing agreements. Excluding $1.2 billion of revenue associated with our broadcasts of the 2018 PyeongChang Olympics and the 2018 Super Bowl, revenue increased 5.5% for the six months ended June 30, 2018.</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Segment—Operating Costs and Expenses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costs and expenses increased for the three months ended June 30, 2018 compared to the same period in 2017 primarily due to higher programming and production costs associated with Telemundo's broadcast of the 2018 FIFA World Cup Russia</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1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Operating costs and expenses increased for the six months ended June 30, 2018 compared to the same period in 2017 primarily due to higher programming and production costs. The increase in programming and production costs was primarily due to costs associated with our broadcasts of the 2018 PyeongChang Olympics and the 2018 Super Bowl.</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75"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Filmed Entertainment Segment Results of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2"/>
          </w:tcPr>
          <w:p>
            <w:pPr>
              <w:jc w:val="center"/>
              <w:ind w:left="513"/>
              <w:spacing w:after="0"/>
              <w:rPr>
                <w:sz w:val="20"/>
                <w:szCs w:val="20"/>
                <w:color w:val="auto"/>
              </w:rPr>
            </w:pPr>
            <w:r>
              <w:rPr>
                <w:rFonts w:ascii="Arial" w:cs="Arial" w:eastAsia="Arial" w:hAnsi="Arial"/>
                <w:sz w:val="14"/>
                <w:szCs w:val="14"/>
                <w:color w:val="auto"/>
                <w:w w:val="91"/>
              </w:rPr>
              <w:t>Three Months Ended</w:t>
            </w: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40" w:type="dxa"/>
            <w:vAlign w:val="bottom"/>
          </w:tcPr>
          <w:p>
            <w:pPr>
              <w:jc w:val="center"/>
              <w:ind w:left="594"/>
              <w:spacing w:after="0"/>
              <w:rPr>
                <w:sz w:val="20"/>
                <w:szCs w:val="20"/>
                <w:color w:val="auto"/>
              </w:rPr>
            </w:pPr>
            <w:r>
              <w:rPr>
                <w:rFonts w:ascii="Arial" w:cs="Arial" w:eastAsia="Arial" w:hAnsi="Arial"/>
                <w:sz w:val="14"/>
                <w:szCs w:val="14"/>
                <w:color w:val="auto"/>
                <w:w w:val="90"/>
              </w:rPr>
              <w:t>Increase/</w:t>
            </w:r>
          </w:p>
        </w:tc>
        <w:tc>
          <w:tcPr>
            <w:tcW w:w="1060" w:type="dxa"/>
            <w:vAlign w:val="bottom"/>
          </w:tcPr>
          <w:p>
            <w:pPr>
              <w:spacing w:after="0"/>
              <w:rPr>
                <w:sz w:val="14"/>
                <w:szCs w:val="14"/>
                <w:color w:val="auto"/>
              </w:rPr>
            </w:pPr>
          </w:p>
        </w:tc>
      </w:tr>
      <w:tr>
        <w:trPr>
          <w:trHeight w:val="188"/>
        </w:trPr>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16"/>
              <w:spacing w:after="0"/>
              <w:rPr>
                <w:sz w:val="20"/>
                <w:szCs w:val="20"/>
                <w:color w:val="auto"/>
              </w:rPr>
            </w:pPr>
            <w:r>
              <w:rPr>
                <w:rFonts w:ascii="Arial" w:cs="Arial" w:eastAsia="Arial" w:hAnsi="Arial"/>
                <w:sz w:val="14"/>
                <w:szCs w:val="14"/>
                <w:color w:val="auto"/>
                <w:w w:val="88"/>
              </w:rPr>
              <w:t>June 30</w:t>
            </w: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left="594"/>
              <w:spacing w:after="0"/>
              <w:rPr>
                <w:sz w:val="20"/>
                <w:szCs w:val="20"/>
                <w:color w:val="auto"/>
              </w:rPr>
            </w:pPr>
            <w:r>
              <w:rPr>
                <w:rFonts w:ascii="Arial" w:cs="Arial" w:eastAsia="Arial" w:hAnsi="Arial"/>
                <w:sz w:val="14"/>
                <w:szCs w:val="14"/>
                <w:color w:val="auto"/>
                <w:w w:val="92"/>
              </w:rPr>
              <w:t>(Decrease)</w:t>
            </w:r>
          </w:p>
        </w:tc>
        <w:tc>
          <w:tcPr>
            <w:tcW w:w="106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2018</w:t>
            </w:r>
          </w:p>
        </w:tc>
        <w:tc>
          <w:tcPr>
            <w:tcW w:w="8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w w:val="96"/>
              </w:rPr>
              <w:t>2017</w:t>
            </w:r>
          </w:p>
        </w:tc>
        <w:tc>
          <w:tcPr>
            <w:tcW w:w="5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194"/>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color w:val="auto"/>
              </w:rPr>
              <w:t>%</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Theatrical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540</w:t>
            </w:r>
          </w:p>
        </w:tc>
        <w:tc>
          <w:tcPr>
            <w:tcW w:w="88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837</w:t>
            </w:r>
          </w:p>
        </w:tc>
        <w:tc>
          <w:tcPr>
            <w:tcW w:w="5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(297)</w:t>
            </w:r>
          </w:p>
        </w:tc>
        <w:tc>
          <w:tcPr>
            <w:tcW w:w="1060" w:type="dxa"/>
            <w:vAlign w:val="bottom"/>
          </w:tcPr>
          <w:p>
            <w:pPr>
              <w:jc w:val="right"/>
              <w:spacing w:after="0"/>
              <w:rPr>
                <w:sz w:val="20"/>
                <w:szCs w:val="20"/>
                <w:color w:val="auto"/>
              </w:rPr>
            </w:pPr>
            <w:r>
              <w:rPr>
                <w:rFonts w:ascii="Arial" w:cs="Arial" w:eastAsia="Arial" w:hAnsi="Arial"/>
                <w:sz w:val="18"/>
                <w:szCs w:val="18"/>
                <w:color w:val="auto"/>
              </w:rPr>
              <w:t>(35.5)%</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648</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684</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(36)</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(5.3)</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Home entertainment</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225</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334</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(109)</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(32.8)</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297</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287</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10</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3.8</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1,710</w:t>
            </w:r>
          </w:p>
        </w:tc>
        <w:tc>
          <w:tcPr>
            <w:tcW w:w="88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2,142</w:t>
            </w:r>
          </w:p>
        </w:tc>
        <w:tc>
          <w:tcPr>
            <w:tcW w:w="560" w:type="dxa"/>
            <w:vAlign w:val="bottom"/>
          </w:tcPr>
          <w:p>
            <w:pPr>
              <w:spacing w:after="0"/>
              <w:rPr>
                <w:sz w:val="20"/>
                <w:szCs w:val="20"/>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b w:val="1"/>
                <w:bCs w:val="1"/>
                <w:color w:val="auto"/>
              </w:rPr>
              <w:t>(432)</w:t>
            </w:r>
          </w:p>
        </w:tc>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rPr>
              <w:t>(20.2)</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843</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1,076</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(233)</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(21.7)</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301</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329</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(28)</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(8.1)</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428</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450</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(22)</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(4.9)</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1,572</w:t>
            </w:r>
          </w:p>
        </w:tc>
        <w:tc>
          <w:tcPr>
            <w:tcW w:w="88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1,855</w:t>
            </w:r>
          </w:p>
        </w:tc>
        <w:tc>
          <w:tcPr>
            <w:tcW w:w="560" w:type="dxa"/>
            <w:vAlign w:val="bottom"/>
          </w:tcPr>
          <w:p>
            <w:pPr>
              <w:spacing w:after="0"/>
              <w:rPr>
                <w:sz w:val="20"/>
                <w:szCs w:val="20"/>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(283)</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(15.2)</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138</w:t>
            </w:r>
          </w:p>
        </w:tc>
        <w:tc>
          <w:tcPr>
            <w:tcW w:w="880" w:type="dxa"/>
            <w:vAlign w:val="bottom"/>
          </w:tcPr>
          <w:p>
            <w:pPr>
              <w:jc w:val="right"/>
              <w:ind w:right="356"/>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287</w:t>
            </w:r>
          </w:p>
        </w:tc>
        <w:tc>
          <w:tcPr>
            <w:tcW w:w="5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34"/>
              <w:spacing w:after="0"/>
              <w:rPr>
                <w:sz w:val="20"/>
                <w:szCs w:val="20"/>
                <w:color w:val="auto"/>
              </w:rPr>
            </w:pPr>
            <w:r>
              <w:rPr>
                <w:rFonts w:ascii="Arial" w:cs="Arial" w:eastAsia="Arial" w:hAnsi="Arial"/>
                <w:sz w:val="18"/>
                <w:szCs w:val="18"/>
                <w:b w:val="1"/>
                <w:bCs w:val="1"/>
                <w:color w:val="auto"/>
              </w:rPr>
              <w:t>(149)</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(52.1)%</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92"/>
        </w:trPr>
        <w:tc>
          <w:tcPr>
            <w:tcW w:w="4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gridSpan w:val="2"/>
          </w:tcPr>
          <w:p>
            <w:pPr>
              <w:jc w:val="center"/>
              <w:ind w:left="513"/>
              <w:spacing w:after="0"/>
              <w:rPr>
                <w:sz w:val="20"/>
                <w:szCs w:val="20"/>
                <w:color w:val="auto"/>
              </w:rPr>
            </w:pPr>
            <w:r>
              <w:rPr>
                <w:rFonts w:ascii="Arial" w:cs="Arial" w:eastAsia="Arial" w:hAnsi="Arial"/>
                <w:sz w:val="14"/>
                <w:szCs w:val="14"/>
                <w:color w:val="auto"/>
                <w:w w:val="95"/>
              </w:rPr>
              <w:t>Six Months Ended</w:t>
            </w: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40" w:type="dxa"/>
            <w:vAlign w:val="bottom"/>
          </w:tcPr>
          <w:p>
            <w:pPr>
              <w:jc w:val="center"/>
              <w:ind w:left="594"/>
              <w:spacing w:after="0"/>
              <w:rPr>
                <w:sz w:val="20"/>
                <w:szCs w:val="20"/>
                <w:color w:val="auto"/>
              </w:rPr>
            </w:pPr>
            <w:r>
              <w:rPr>
                <w:rFonts w:ascii="Arial" w:cs="Arial" w:eastAsia="Arial" w:hAnsi="Arial"/>
                <w:sz w:val="14"/>
                <w:szCs w:val="14"/>
                <w:color w:val="auto"/>
                <w:w w:val="90"/>
              </w:rPr>
              <w:t>Increase/</w:t>
            </w:r>
          </w:p>
        </w:tc>
        <w:tc>
          <w:tcPr>
            <w:tcW w:w="1060" w:type="dxa"/>
            <w:vAlign w:val="bottom"/>
          </w:tcPr>
          <w:p>
            <w:pPr>
              <w:spacing w:after="0"/>
              <w:rPr>
                <w:sz w:val="24"/>
                <w:szCs w:val="24"/>
                <w:color w:val="auto"/>
              </w:rPr>
            </w:pPr>
          </w:p>
        </w:tc>
      </w:tr>
      <w:tr>
        <w:trPr>
          <w:trHeight w:val="188"/>
        </w:trPr>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16"/>
              <w:spacing w:after="0"/>
              <w:rPr>
                <w:sz w:val="20"/>
                <w:szCs w:val="20"/>
                <w:color w:val="auto"/>
              </w:rPr>
            </w:pPr>
            <w:r>
              <w:rPr>
                <w:rFonts w:ascii="Arial" w:cs="Arial" w:eastAsia="Arial" w:hAnsi="Arial"/>
                <w:sz w:val="14"/>
                <w:szCs w:val="14"/>
                <w:color w:val="auto"/>
                <w:w w:val="88"/>
              </w:rPr>
              <w:t>June 30</w:t>
            </w: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left="594"/>
              <w:spacing w:after="0"/>
              <w:rPr>
                <w:sz w:val="20"/>
                <w:szCs w:val="20"/>
                <w:color w:val="auto"/>
              </w:rPr>
            </w:pPr>
            <w:r>
              <w:rPr>
                <w:rFonts w:ascii="Arial" w:cs="Arial" w:eastAsia="Arial" w:hAnsi="Arial"/>
                <w:sz w:val="14"/>
                <w:szCs w:val="14"/>
                <w:color w:val="auto"/>
                <w:w w:val="92"/>
              </w:rPr>
              <w:t>(Decrease)</w:t>
            </w:r>
          </w:p>
        </w:tc>
        <w:tc>
          <w:tcPr>
            <w:tcW w:w="106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2018</w:t>
            </w:r>
          </w:p>
        </w:tc>
        <w:tc>
          <w:tcPr>
            <w:tcW w:w="8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w w:val="96"/>
              </w:rPr>
              <w:t>2017</w:t>
            </w:r>
          </w:p>
        </w:tc>
        <w:tc>
          <w:tcPr>
            <w:tcW w:w="5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194"/>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color w:val="auto"/>
              </w:rPr>
              <w:t>%</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Theatrical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963</w:t>
            </w:r>
          </w:p>
        </w:tc>
        <w:tc>
          <w:tcPr>
            <w:tcW w:w="88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1,488</w:t>
            </w:r>
          </w:p>
        </w:tc>
        <w:tc>
          <w:tcPr>
            <w:tcW w:w="5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(525)</w:t>
            </w:r>
          </w:p>
        </w:tc>
        <w:tc>
          <w:tcPr>
            <w:tcW w:w="1060" w:type="dxa"/>
            <w:vAlign w:val="bottom"/>
          </w:tcPr>
          <w:p>
            <w:pPr>
              <w:jc w:val="right"/>
              <w:spacing w:after="0"/>
              <w:rPr>
                <w:sz w:val="20"/>
                <w:szCs w:val="20"/>
                <w:color w:val="auto"/>
              </w:rPr>
            </w:pPr>
            <w:r>
              <w:rPr>
                <w:rFonts w:ascii="Arial" w:cs="Arial" w:eastAsia="Arial" w:hAnsi="Arial"/>
                <w:sz w:val="18"/>
                <w:szCs w:val="18"/>
                <w:color w:val="auto"/>
              </w:rPr>
              <w:t>(35.3)%</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1,381</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1,418</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(37)</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(2.6)</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Home entertainment</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473</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620</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(147)</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(23.8)</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540</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583</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(43)</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(7.4)</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3,357</w:t>
            </w:r>
          </w:p>
        </w:tc>
        <w:tc>
          <w:tcPr>
            <w:tcW w:w="88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4,109</w:t>
            </w:r>
          </w:p>
        </w:tc>
        <w:tc>
          <w:tcPr>
            <w:tcW w:w="560" w:type="dxa"/>
            <w:vAlign w:val="bottom"/>
          </w:tcPr>
          <w:p>
            <w:pPr>
              <w:spacing w:after="0"/>
              <w:rPr>
                <w:sz w:val="20"/>
                <w:szCs w:val="20"/>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b w:val="1"/>
                <w:bCs w:val="1"/>
                <w:color w:val="auto"/>
              </w:rPr>
              <w:t>(752)</w:t>
            </w:r>
          </w:p>
        </w:tc>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rPr>
              <w:t>(18.3)</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1,578</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1,939</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(361)</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(18.6)</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602</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654</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(52)</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(7.9)</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836</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858</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(22)</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(2.6)</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3,016</w:t>
            </w:r>
          </w:p>
        </w:tc>
        <w:tc>
          <w:tcPr>
            <w:tcW w:w="88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3,451</w:t>
            </w:r>
          </w:p>
        </w:tc>
        <w:tc>
          <w:tcPr>
            <w:tcW w:w="560" w:type="dxa"/>
            <w:vAlign w:val="bottom"/>
          </w:tcPr>
          <w:p>
            <w:pPr>
              <w:spacing w:after="0"/>
              <w:rPr>
                <w:sz w:val="20"/>
                <w:szCs w:val="20"/>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(435)</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(12.6)</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341</w:t>
            </w:r>
          </w:p>
        </w:tc>
        <w:tc>
          <w:tcPr>
            <w:tcW w:w="880" w:type="dxa"/>
            <w:vAlign w:val="bottom"/>
          </w:tcPr>
          <w:p>
            <w:pPr>
              <w:jc w:val="right"/>
              <w:ind w:right="356"/>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658</w:t>
            </w:r>
          </w:p>
        </w:tc>
        <w:tc>
          <w:tcPr>
            <w:tcW w:w="5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34"/>
              <w:spacing w:after="0"/>
              <w:rPr>
                <w:sz w:val="20"/>
                <w:szCs w:val="20"/>
                <w:color w:val="auto"/>
              </w:rPr>
            </w:pPr>
            <w:r>
              <w:rPr>
                <w:rFonts w:ascii="Arial" w:cs="Arial" w:eastAsia="Arial" w:hAnsi="Arial"/>
                <w:sz w:val="18"/>
                <w:szCs w:val="18"/>
                <w:b w:val="1"/>
                <w:bCs w:val="1"/>
                <w:color w:val="auto"/>
              </w:rPr>
              <w:t>(317)</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(48.2)%</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Segment—Revenue</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Filmed Entertainment revenue decreased for the three and six months ended June 30, 2018 compared to the same periods in 2017 primarily due to decreases in theatrical revenue and home entertainment revenue. The decreases in theatrical revenue were primarily due to the timing of releases and the strong performance of prior year releases, including </w:t>
      </w:r>
      <w:r>
        <w:rPr>
          <w:rFonts w:ascii="Arial" w:cs="Arial" w:eastAsia="Arial" w:hAnsi="Arial"/>
          <w:sz w:val="18"/>
          <w:szCs w:val="18"/>
          <w:i w:val="1"/>
          <w:iCs w:val="1"/>
          <w:color w:val="auto"/>
        </w:rPr>
        <w:t>The Fate of the Furious</w:t>
      </w:r>
      <w:r>
        <w:rPr>
          <w:rFonts w:ascii="Arial" w:cs="Arial" w:eastAsia="Arial" w:hAnsi="Arial"/>
          <w:sz w:val="18"/>
          <w:szCs w:val="18"/>
          <w:color w:val="auto"/>
        </w:rPr>
        <w:t xml:space="preserve">, which were partially offset by successful releases in the current year, including </w:t>
      </w:r>
      <w:r>
        <w:rPr>
          <w:rFonts w:ascii="Arial" w:cs="Arial" w:eastAsia="Arial" w:hAnsi="Arial"/>
          <w:sz w:val="18"/>
          <w:szCs w:val="18"/>
          <w:i w:val="1"/>
          <w:iCs w:val="1"/>
          <w:color w:val="auto"/>
        </w:rPr>
        <w:t>Jurassic</w:t>
      </w:r>
      <w:r>
        <w:rPr>
          <w:rFonts w:ascii="Arial" w:cs="Arial" w:eastAsia="Arial" w:hAnsi="Arial"/>
          <w:sz w:val="18"/>
          <w:szCs w:val="18"/>
          <w:color w:val="auto"/>
        </w:rPr>
        <w:t xml:space="preserve"> </w:t>
      </w:r>
      <w:r>
        <w:rPr>
          <w:rFonts w:ascii="Arial" w:cs="Arial" w:eastAsia="Arial" w:hAnsi="Arial"/>
          <w:sz w:val="18"/>
          <w:szCs w:val="18"/>
          <w:i w:val="1"/>
          <w:iCs w:val="1"/>
          <w:color w:val="auto"/>
        </w:rPr>
        <w:t>World: Fallen Kingdom</w:t>
      </w:r>
      <w:r>
        <w:rPr>
          <w:rFonts w:ascii="Arial" w:cs="Arial" w:eastAsia="Arial" w:hAnsi="Arial"/>
          <w:sz w:val="18"/>
          <w:szCs w:val="18"/>
          <w:color w:val="auto"/>
        </w:rPr>
        <w:t>. The decreases in home entertainment revenue were primarily due to higher sales of 2017 releases, which were partially offset by</w:t>
      </w:r>
      <w:r>
        <w:rPr>
          <w:rFonts w:ascii="Arial" w:cs="Arial" w:eastAsia="Arial" w:hAnsi="Arial"/>
          <w:sz w:val="18"/>
          <w:szCs w:val="18"/>
          <w:i w:val="1"/>
          <w:iCs w:val="1"/>
          <w:color w:val="auto"/>
        </w:rPr>
        <w:t xml:space="preserve"> </w:t>
      </w:r>
      <w:r>
        <w:rPr>
          <w:rFonts w:ascii="Arial" w:cs="Arial" w:eastAsia="Arial" w:hAnsi="Arial"/>
          <w:sz w:val="18"/>
          <w:szCs w:val="18"/>
          <w:color w:val="auto"/>
        </w:rPr>
        <w:t>sales of 2018 releases</w:t>
      </w:r>
      <w:r>
        <w:rPr>
          <w:rFonts w:ascii="Arial" w:cs="Arial" w:eastAsia="Arial" w:hAnsi="Arial"/>
          <w:sz w:val="18"/>
          <w:szCs w:val="18"/>
          <w:i w:val="1"/>
          <w:iCs w:val="1"/>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Segment—Operating Costs and Expenses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costs and expenses decreased for the three and six months ended June 30, 2018 compared to the same periods in 2017 primarily due to decreases in programming and production costs related to a higher number of releases in the prior year periods.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75"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Theme Parks Segment Results of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gridSpan w:val="2"/>
          </w:tcPr>
          <w:p>
            <w:pPr>
              <w:jc w:val="center"/>
              <w:ind w:left="517"/>
              <w:spacing w:after="0"/>
              <w:rPr>
                <w:sz w:val="20"/>
                <w:szCs w:val="20"/>
                <w:color w:val="auto"/>
              </w:rPr>
            </w:pPr>
            <w:r>
              <w:rPr>
                <w:rFonts w:ascii="Arial" w:cs="Arial" w:eastAsia="Arial" w:hAnsi="Arial"/>
                <w:sz w:val="14"/>
                <w:szCs w:val="14"/>
                <w:color w:val="auto"/>
                <w:w w:val="93"/>
              </w:rPr>
              <w:t>Three Months Ended</w:t>
            </w: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20" w:type="dxa"/>
            <w:vAlign w:val="bottom"/>
          </w:tcPr>
          <w:p>
            <w:pPr>
              <w:jc w:val="center"/>
              <w:ind w:left="539"/>
              <w:spacing w:after="0"/>
              <w:rPr>
                <w:sz w:val="20"/>
                <w:szCs w:val="20"/>
                <w:color w:val="auto"/>
              </w:rPr>
            </w:pPr>
            <w:r>
              <w:rPr>
                <w:rFonts w:ascii="Arial" w:cs="Arial" w:eastAsia="Arial" w:hAnsi="Arial"/>
                <w:sz w:val="14"/>
                <w:szCs w:val="14"/>
                <w:color w:val="auto"/>
                <w:w w:val="90"/>
              </w:rPr>
              <w:t>Increase/</w:t>
            </w:r>
          </w:p>
        </w:tc>
        <w:tc>
          <w:tcPr>
            <w:tcW w:w="1020" w:type="dxa"/>
            <w:vAlign w:val="bottom"/>
          </w:tcPr>
          <w:p>
            <w:pPr>
              <w:spacing w:after="0"/>
              <w:rPr>
                <w:sz w:val="14"/>
                <w:szCs w:val="14"/>
                <w:color w:val="auto"/>
              </w:rPr>
            </w:pPr>
          </w:p>
        </w:tc>
      </w:tr>
      <w:tr>
        <w:trPr>
          <w:trHeight w:val="188"/>
        </w:trPr>
        <w:tc>
          <w:tcPr>
            <w:tcW w:w="5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56"/>
              <w:spacing w:after="0"/>
              <w:rPr>
                <w:sz w:val="20"/>
                <w:szCs w:val="20"/>
                <w:color w:val="auto"/>
              </w:rPr>
            </w:pPr>
            <w:r>
              <w:rPr>
                <w:rFonts w:ascii="Arial" w:cs="Arial" w:eastAsia="Arial" w:hAnsi="Arial"/>
                <w:sz w:val="14"/>
                <w:szCs w:val="14"/>
                <w:color w:val="auto"/>
                <w:w w:val="88"/>
              </w:rPr>
              <w:t>June 30</w:t>
            </w: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left="559"/>
              <w:spacing w:after="0"/>
              <w:rPr>
                <w:sz w:val="20"/>
                <w:szCs w:val="20"/>
                <w:color w:val="auto"/>
              </w:rPr>
            </w:pPr>
            <w:r>
              <w:rPr>
                <w:rFonts w:ascii="Arial" w:cs="Arial" w:eastAsia="Arial" w:hAnsi="Arial"/>
                <w:sz w:val="14"/>
                <w:szCs w:val="14"/>
                <w:color w:val="auto"/>
                <w:w w:val="89"/>
              </w:rPr>
              <w:t>(Decrease)</w:t>
            </w:r>
          </w:p>
        </w:tc>
        <w:tc>
          <w:tcPr>
            <w:tcW w:w="1020" w:type="dxa"/>
            <w:vAlign w:val="bottom"/>
            <w:tcBorders>
              <w:bottom w:val="single" w:sz="8" w:color="auto"/>
            </w:tcBorders>
          </w:tcPr>
          <w:p>
            <w:pPr>
              <w:spacing w:after="0"/>
              <w:rPr>
                <w:sz w:val="16"/>
                <w:szCs w:val="16"/>
                <w:color w:val="auto"/>
              </w:rPr>
            </w:pPr>
          </w:p>
        </w:tc>
      </w:tr>
      <w:tr>
        <w:trPr>
          <w:trHeight w:val="264"/>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color w:val="auto"/>
              </w:rPr>
              <w:t>2018</w:t>
            </w:r>
          </w:p>
        </w:tc>
        <w:tc>
          <w:tcPr>
            <w:tcW w:w="8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w w:val="96"/>
              </w:rPr>
              <w:t>2017</w:t>
            </w:r>
          </w:p>
        </w:tc>
        <w:tc>
          <w:tcPr>
            <w:tcW w:w="5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color w:val="auto"/>
              </w:rPr>
              <w:t>%</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1,361</w:t>
            </w:r>
          </w:p>
        </w:tc>
        <w:tc>
          <w:tcPr>
            <w:tcW w:w="88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1,314</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79"/>
              <w:spacing w:after="0"/>
              <w:rPr>
                <w:sz w:val="20"/>
                <w:szCs w:val="20"/>
                <w:color w:val="auto"/>
              </w:rPr>
            </w:pPr>
            <w:r>
              <w:rPr>
                <w:rFonts w:ascii="Arial" w:cs="Arial" w:eastAsia="Arial" w:hAnsi="Arial"/>
                <w:sz w:val="18"/>
                <w:szCs w:val="18"/>
                <w:color w:val="auto"/>
              </w:rPr>
              <w:t>47</w:t>
            </w: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500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792</w:t>
            </w:r>
          </w:p>
        </w:tc>
        <w:tc>
          <w:tcPr>
            <w:tcW w:w="880" w:type="dxa"/>
            <w:vAlign w:val="bottom"/>
          </w:tcPr>
          <w:p>
            <w:pPr>
              <w:spacing w:after="0"/>
              <w:rPr>
                <w:sz w:val="23"/>
                <w:szCs w:val="23"/>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763</w:t>
            </w:r>
          </w:p>
        </w:tc>
        <w:tc>
          <w:tcPr>
            <w:tcW w:w="560" w:type="dxa"/>
            <w:vAlign w:val="bottom"/>
          </w:tcPr>
          <w:p>
            <w:pPr>
              <w:spacing w:after="0"/>
              <w:rPr>
                <w:sz w:val="23"/>
                <w:szCs w:val="23"/>
                <w:color w:val="auto"/>
              </w:rPr>
            </w:pPr>
          </w:p>
        </w:tc>
        <w:tc>
          <w:tcPr>
            <w:tcW w:w="1620" w:type="dxa"/>
            <w:vAlign w:val="bottom"/>
          </w:tcPr>
          <w:p>
            <w:pPr>
              <w:jc w:val="right"/>
              <w:ind w:right="579"/>
              <w:spacing w:after="0"/>
              <w:rPr>
                <w:sz w:val="20"/>
                <w:szCs w:val="20"/>
                <w:color w:val="auto"/>
              </w:rPr>
            </w:pPr>
            <w:r>
              <w:rPr>
                <w:rFonts w:ascii="Arial" w:cs="Arial" w:eastAsia="Arial" w:hAnsi="Arial"/>
                <w:sz w:val="18"/>
                <w:szCs w:val="18"/>
                <w:color w:val="auto"/>
              </w:rPr>
              <w:t>29</w:t>
            </w: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3.8</w:t>
            </w:r>
          </w:p>
        </w:tc>
      </w:tr>
      <w:tr>
        <w:trPr>
          <w:trHeight w:val="27"/>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569</w:t>
            </w:r>
          </w:p>
        </w:tc>
        <w:tc>
          <w:tcPr>
            <w:tcW w:w="880" w:type="dxa"/>
            <w:vAlign w:val="bottom"/>
          </w:tcPr>
          <w:p>
            <w:pPr>
              <w:jc w:val="right"/>
              <w:ind w:right="356"/>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4"/>
              <w:spacing w:after="0"/>
              <w:rPr>
                <w:sz w:val="20"/>
                <w:szCs w:val="20"/>
                <w:color w:val="auto"/>
              </w:rPr>
            </w:pPr>
            <w:r>
              <w:rPr>
                <w:rFonts w:ascii="Arial" w:cs="Arial" w:eastAsia="Arial" w:hAnsi="Arial"/>
                <w:sz w:val="18"/>
                <w:szCs w:val="18"/>
                <w:b w:val="1"/>
                <w:bCs w:val="1"/>
                <w:color w:val="auto"/>
              </w:rPr>
              <w:t>551</w:t>
            </w:r>
          </w:p>
        </w:tc>
        <w:tc>
          <w:tcPr>
            <w:tcW w:w="5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579"/>
              <w:spacing w:after="0"/>
              <w:rPr>
                <w:sz w:val="20"/>
                <w:szCs w:val="20"/>
                <w:color w:val="auto"/>
              </w:rPr>
            </w:pPr>
            <w:r>
              <w:rPr>
                <w:rFonts w:ascii="Arial" w:cs="Arial" w:eastAsia="Arial" w:hAnsi="Arial"/>
                <w:sz w:val="18"/>
                <w:szCs w:val="18"/>
                <w:b w:val="1"/>
                <w:bCs w:val="1"/>
                <w:color w:val="auto"/>
              </w:rPr>
              <w:t>18</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3.4%</w:t>
            </w:r>
          </w:p>
        </w:tc>
      </w:tr>
      <w:tr>
        <w:trPr>
          <w:trHeight w:val="34"/>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92"/>
        </w:trPr>
        <w:tc>
          <w:tcPr>
            <w:tcW w:w="5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gridSpan w:val="2"/>
          </w:tcPr>
          <w:p>
            <w:pPr>
              <w:jc w:val="center"/>
              <w:ind w:left="497"/>
              <w:spacing w:after="0"/>
              <w:rPr>
                <w:sz w:val="20"/>
                <w:szCs w:val="20"/>
                <w:color w:val="auto"/>
              </w:rPr>
            </w:pPr>
            <w:r>
              <w:rPr>
                <w:rFonts w:ascii="Arial" w:cs="Arial" w:eastAsia="Arial" w:hAnsi="Arial"/>
                <w:sz w:val="14"/>
                <w:szCs w:val="14"/>
                <w:color w:val="auto"/>
                <w:w w:val="95"/>
              </w:rPr>
              <w:t>Six Months Ended</w:t>
            </w: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jc w:val="center"/>
              <w:ind w:left="539"/>
              <w:spacing w:after="0"/>
              <w:rPr>
                <w:sz w:val="20"/>
                <w:szCs w:val="20"/>
                <w:color w:val="auto"/>
              </w:rPr>
            </w:pPr>
            <w:r>
              <w:rPr>
                <w:rFonts w:ascii="Arial" w:cs="Arial" w:eastAsia="Arial" w:hAnsi="Arial"/>
                <w:sz w:val="14"/>
                <w:szCs w:val="14"/>
                <w:color w:val="auto"/>
                <w:w w:val="90"/>
              </w:rPr>
              <w:t>Increase/</w:t>
            </w:r>
          </w:p>
        </w:tc>
        <w:tc>
          <w:tcPr>
            <w:tcW w:w="1020" w:type="dxa"/>
            <w:vAlign w:val="bottom"/>
          </w:tcPr>
          <w:p>
            <w:pPr>
              <w:spacing w:after="0"/>
              <w:rPr>
                <w:sz w:val="24"/>
                <w:szCs w:val="24"/>
                <w:color w:val="auto"/>
              </w:rPr>
            </w:pPr>
          </w:p>
        </w:tc>
      </w:tr>
      <w:tr>
        <w:trPr>
          <w:trHeight w:val="188"/>
        </w:trPr>
        <w:tc>
          <w:tcPr>
            <w:tcW w:w="5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56"/>
              <w:spacing w:after="0"/>
              <w:rPr>
                <w:sz w:val="20"/>
                <w:szCs w:val="20"/>
                <w:color w:val="auto"/>
              </w:rPr>
            </w:pPr>
            <w:r>
              <w:rPr>
                <w:rFonts w:ascii="Arial" w:cs="Arial" w:eastAsia="Arial" w:hAnsi="Arial"/>
                <w:sz w:val="14"/>
                <w:szCs w:val="14"/>
                <w:color w:val="auto"/>
                <w:w w:val="88"/>
              </w:rPr>
              <w:t>June 30</w:t>
            </w: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left="559"/>
              <w:spacing w:after="0"/>
              <w:rPr>
                <w:sz w:val="20"/>
                <w:szCs w:val="20"/>
                <w:color w:val="auto"/>
              </w:rPr>
            </w:pPr>
            <w:r>
              <w:rPr>
                <w:rFonts w:ascii="Arial" w:cs="Arial" w:eastAsia="Arial" w:hAnsi="Arial"/>
                <w:sz w:val="14"/>
                <w:szCs w:val="14"/>
                <w:color w:val="auto"/>
                <w:w w:val="89"/>
              </w:rPr>
              <w:t>(Decrease)</w:t>
            </w:r>
          </w:p>
        </w:tc>
        <w:tc>
          <w:tcPr>
            <w:tcW w:w="1020" w:type="dxa"/>
            <w:vAlign w:val="bottom"/>
            <w:tcBorders>
              <w:bottom w:val="single" w:sz="8" w:color="auto"/>
            </w:tcBorders>
          </w:tcPr>
          <w:p>
            <w:pPr>
              <w:spacing w:after="0"/>
              <w:rPr>
                <w:sz w:val="16"/>
                <w:szCs w:val="16"/>
                <w:color w:val="auto"/>
              </w:rPr>
            </w:pPr>
          </w:p>
        </w:tc>
      </w:tr>
      <w:tr>
        <w:trPr>
          <w:trHeight w:val="264"/>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color w:val="auto"/>
              </w:rPr>
              <w:t>2018</w:t>
            </w:r>
          </w:p>
        </w:tc>
        <w:tc>
          <w:tcPr>
            <w:tcW w:w="8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w w:val="96"/>
              </w:rPr>
              <w:t>2017</w:t>
            </w:r>
          </w:p>
        </w:tc>
        <w:tc>
          <w:tcPr>
            <w:tcW w:w="5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color w:val="auto"/>
              </w:rPr>
              <w:t>%</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2,642</w:t>
            </w:r>
          </w:p>
        </w:tc>
        <w:tc>
          <w:tcPr>
            <w:tcW w:w="88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2,432</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79"/>
              <w:spacing w:after="0"/>
              <w:rPr>
                <w:sz w:val="20"/>
                <w:szCs w:val="20"/>
                <w:color w:val="auto"/>
              </w:rPr>
            </w:pPr>
            <w:r>
              <w:rPr>
                <w:rFonts w:ascii="Arial" w:cs="Arial" w:eastAsia="Arial" w:hAnsi="Arial"/>
                <w:sz w:val="18"/>
                <w:szCs w:val="18"/>
                <w:color w:val="auto"/>
              </w:rPr>
              <w:t>210</w:t>
            </w:r>
          </w:p>
        </w:tc>
        <w:tc>
          <w:tcPr>
            <w:tcW w:w="10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0"/>
        </w:trPr>
        <w:tc>
          <w:tcPr>
            <w:tcW w:w="500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1,578</w:t>
            </w:r>
          </w:p>
        </w:tc>
        <w:tc>
          <w:tcPr>
            <w:tcW w:w="880" w:type="dxa"/>
            <w:vAlign w:val="bottom"/>
          </w:tcPr>
          <w:p>
            <w:pPr>
              <w:spacing w:after="0"/>
              <w:rPr>
                <w:sz w:val="23"/>
                <w:szCs w:val="23"/>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1,484</w:t>
            </w:r>
          </w:p>
        </w:tc>
        <w:tc>
          <w:tcPr>
            <w:tcW w:w="560" w:type="dxa"/>
            <w:vAlign w:val="bottom"/>
          </w:tcPr>
          <w:p>
            <w:pPr>
              <w:spacing w:after="0"/>
              <w:rPr>
                <w:sz w:val="23"/>
                <w:szCs w:val="23"/>
                <w:color w:val="auto"/>
              </w:rPr>
            </w:pPr>
          </w:p>
        </w:tc>
        <w:tc>
          <w:tcPr>
            <w:tcW w:w="1620" w:type="dxa"/>
            <w:vAlign w:val="bottom"/>
          </w:tcPr>
          <w:p>
            <w:pPr>
              <w:jc w:val="right"/>
              <w:ind w:right="579"/>
              <w:spacing w:after="0"/>
              <w:rPr>
                <w:sz w:val="20"/>
                <w:szCs w:val="20"/>
                <w:color w:val="auto"/>
              </w:rPr>
            </w:pPr>
            <w:r>
              <w:rPr>
                <w:rFonts w:ascii="Arial" w:cs="Arial" w:eastAsia="Arial" w:hAnsi="Arial"/>
                <w:sz w:val="18"/>
                <w:szCs w:val="18"/>
                <w:color w:val="auto"/>
              </w:rPr>
              <w:t>94</w:t>
            </w: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6.3</w:t>
            </w:r>
          </w:p>
        </w:tc>
      </w:tr>
      <w:tr>
        <w:trPr>
          <w:trHeight w:val="27"/>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1,064</w:t>
            </w:r>
          </w:p>
        </w:tc>
        <w:tc>
          <w:tcPr>
            <w:tcW w:w="880" w:type="dxa"/>
            <w:vAlign w:val="bottom"/>
          </w:tcPr>
          <w:p>
            <w:pPr>
              <w:jc w:val="right"/>
              <w:ind w:right="356"/>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4"/>
              <w:spacing w:after="0"/>
              <w:rPr>
                <w:sz w:val="20"/>
                <w:szCs w:val="20"/>
                <w:color w:val="auto"/>
              </w:rPr>
            </w:pPr>
            <w:r>
              <w:rPr>
                <w:rFonts w:ascii="Arial" w:cs="Arial" w:eastAsia="Arial" w:hAnsi="Arial"/>
                <w:sz w:val="18"/>
                <w:szCs w:val="18"/>
                <w:b w:val="1"/>
                <w:bCs w:val="1"/>
                <w:color w:val="auto"/>
              </w:rPr>
              <w:t>948</w:t>
            </w:r>
          </w:p>
        </w:tc>
        <w:tc>
          <w:tcPr>
            <w:tcW w:w="5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579"/>
              <w:spacing w:after="0"/>
              <w:rPr>
                <w:sz w:val="20"/>
                <w:szCs w:val="20"/>
                <w:color w:val="auto"/>
              </w:rPr>
            </w:pPr>
            <w:r>
              <w:rPr>
                <w:rFonts w:ascii="Arial" w:cs="Arial" w:eastAsia="Arial" w:hAnsi="Arial"/>
                <w:sz w:val="18"/>
                <w:szCs w:val="18"/>
                <w:b w:val="1"/>
                <w:bCs w:val="1"/>
                <w:color w:val="auto"/>
              </w:rPr>
              <w:t>116</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12.3%</w:t>
            </w:r>
          </w:p>
        </w:tc>
      </w:tr>
      <w:tr>
        <w:trPr>
          <w:trHeight w:val="34"/>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Segment—Revenue</w:t>
      </w:r>
    </w:p>
    <w:p>
      <w:pPr>
        <w:spacing w:after="0" w:line="18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Theme Parks revenue increased for the three and six months ended June 30, 2018 compared to the same periods in 2017 primarily due to increases in guest spending, driven by increased ticket prices and merchandise, food, and beverage spend. The increase in Theme Parks revenue for the three months ended June 30, 2018 was partially offset by the timing of spring holidays as compared to the prior year period.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Segment—Operating Costs and Expenses</w:t>
      </w:r>
    </w:p>
    <w:p>
      <w:pPr>
        <w:spacing w:after="0" w:line="18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Operating costs and expenses increased for the three and six months ended June 30, 2018 compared to the same periods in 2017 primarily due to higher operating costs related to </w:t>
      </w:r>
      <w:r>
        <w:rPr>
          <w:rFonts w:ascii="Arial" w:cs="Arial" w:eastAsia="Arial" w:hAnsi="Arial"/>
          <w:sz w:val="16"/>
          <w:szCs w:val="16"/>
          <w:i w:val="1"/>
          <w:iCs w:val="1"/>
          <w:color w:val="auto"/>
        </w:rPr>
        <w:t>Volcano Bay™</w:t>
      </w:r>
      <w:r>
        <w:rPr>
          <w:rFonts w:ascii="Arial" w:cs="Arial" w:eastAsia="Arial" w:hAnsi="Arial"/>
          <w:sz w:val="16"/>
          <w:szCs w:val="16"/>
          <w:color w:val="auto"/>
        </w:rPr>
        <w:t xml:space="preserve"> in Orlando and newer attractions, including the opening of the </w:t>
      </w:r>
      <w:r>
        <w:rPr>
          <w:rFonts w:ascii="Arial" w:cs="Arial" w:eastAsia="Arial" w:hAnsi="Arial"/>
          <w:sz w:val="16"/>
          <w:szCs w:val="16"/>
          <w:i w:val="1"/>
          <w:iCs w:val="1"/>
          <w:color w:val="auto"/>
        </w:rPr>
        <w:t>Fast &amp; Furious - Supercharged™</w:t>
      </w:r>
      <w:r>
        <w:rPr>
          <w:rFonts w:ascii="Arial" w:cs="Arial" w:eastAsia="Arial" w:hAnsi="Arial"/>
          <w:sz w:val="16"/>
          <w:szCs w:val="16"/>
          <w:color w:val="auto"/>
        </w:rPr>
        <w:t xml:space="preserve"> attraction in Orlando, </w:t>
      </w:r>
      <w:r>
        <w:rPr>
          <w:rFonts w:ascii="Arial" w:cs="Arial" w:eastAsia="Arial" w:hAnsi="Arial"/>
          <w:sz w:val="16"/>
          <w:szCs w:val="16"/>
          <w:i w:val="1"/>
          <w:iCs w:val="1"/>
          <w:color w:val="auto"/>
        </w:rPr>
        <w:t>DreamWorks Theatre featuring Kung Fu Panda™</w:t>
      </w:r>
      <w:r>
        <w:rPr>
          <w:rFonts w:ascii="Arial" w:cs="Arial" w:eastAsia="Arial" w:hAnsi="Arial"/>
          <w:sz w:val="16"/>
          <w:szCs w:val="16"/>
          <w:color w:val="auto"/>
        </w:rPr>
        <w:t xml:space="preserve"> attraction in Hollywood, and </w:t>
      </w:r>
      <w:r>
        <w:rPr>
          <w:rFonts w:ascii="Arial" w:cs="Arial" w:eastAsia="Arial" w:hAnsi="Arial"/>
          <w:sz w:val="16"/>
          <w:szCs w:val="16"/>
          <w:i w:val="1"/>
          <w:iCs w:val="1"/>
          <w:color w:val="auto"/>
        </w:rPr>
        <w:t>Freeze Ray Sliders™</w:t>
      </w:r>
      <w:r>
        <w:rPr>
          <w:rFonts w:ascii="Arial" w:cs="Arial" w:eastAsia="Arial" w:hAnsi="Arial"/>
          <w:sz w:val="16"/>
          <w:szCs w:val="16"/>
          <w:color w:val="auto"/>
        </w:rPr>
        <w:t xml:space="preserve"> attraction at </w:t>
      </w:r>
      <w:r>
        <w:rPr>
          <w:rFonts w:ascii="Arial" w:cs="Arial" w:eastAsia="Arial" w:hAnsi="Arial"/>
          <w:sz w:val="16"/>
          <w:szCs w:val="16"/>
          <w:i w:val="1"/>
          <w:iCs w:val="1"/>
          <w:color w:val="auto"/>
        </w:rPr>
        <w:t>Minion Park™</w:t>
      </w:r>
      <w:r>
        <w:rPr>
          <w:rFonts w:ascii="Arial" w:cs="Arial" w:eastAsia="Arial" w:hAnsi="Arial"/>
          <w:sz w:val="16"/>
          <w:szCs w:val="16"/>
          <w:color w:val="auto"/>
        </w:rPr>
        <w:t xml:space="preserve"> in Japan.</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and Other Results of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2"/>
          </w:tcPr>
          <w:p>
            <w:pPr>
              <w:jc w:val="center"/>
              <w:ind w:left="519"/>
              <w:spacing w:after="0"/>
              <w:rPr>
                <w:sz w:val="20"/>
                <w:szCs w:val="20"/>
                <w:color w:val="auto"/>
              </w:rPr>
            </w:pPr>
            <w:r>
              <w:rPr>
                <w:rFonts w:ascii="Arial" w:cs="Arial" w:eastAsia="Arial" w:hAnsi="Arial"/>
                <w:sz w:val="14"/>
                <w:szCs w:val="14"/>
                <w:color w:val="auto"/>
                <w:w w:val="91"/>
              </w:rPr>
              <w:t>Three Months Ended</w:t>
            </w: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40" w:type="dxa"/>
            <w:vAlign w:val="bottom"/>
          </w:tcPr>
          <w:p>
            <w:pPr>
              <w:jc w:val="center"/>
              <w:ind w:left="599"/>
              <w:spacing w:after="0"/>
              <w:rPr>
                <w:sz w:val="20"/>
                <w:szCs w:val="20"/>
                <w:color w:val="auto"/>
              </w:rPr>
            </w:pPr>
            <w:r>
              <w:rPr>
                <w:rFonts w:ascii="Arial" w:cs="Arial" w:eastAsia="Arial" w:hAnsi="Arial"/>
                <w:sz w:val="14"/>
                <w:szCs w:val="14"/>
                <w:color w:val="auto"/>
                <w:w w:val="90"/>
              </w:rPr>
              <w:t>Increase/</w:t>
            </w:r>
          </w:p>
        </w:tc>
        <w:tc>
          <w:tcPr>
            <w:tcW w:w="1060" w:type="dxa"/>
            <w:vAlign w:val="bottom"/>
          </w:tcPr>
          <w:p>
            <w:pPr>
              <w:spacing w:after="0"/>
              <w:rPr>
                <w:sz w:val="14"/>
                <w:szCs w:val="14"/>
                <w:color w:val="auto"/>
              </w:rPr>
            </w:pPr>
          </w:p>
        </w:tc>
      </w:tr>
      <w:tr>
        <w:trPr>
          <w:trHeight w:val="188"/>
        </w:trPr>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4"/>
                <w:szCs w:val="14"/>
                <w:color w:val="auto"/>
                <w:w w:val="88"/>
              </w:rPr>
              <w:t>June 30</w:t>
            </w:r>
          </w:p>
        </w:tc>
        <w:tc>
          <w:tcPr>
            <w:tcW w:w="10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left="599"/>
              <w:spacing w:after="0"/>
              <w:rPr>
                <w:sz w:val="20"/>
                <w:szCs w:val="20"/>
                <w:color w:val="auto"/>
              </w:rPr>
            </w:pPr>
            <w:r>
              <w:rPr>
                <w:rFonts w:ascii="Arial" w:cs="Arial" w:eastAsia="Arial" w:hAnsi="Arial"/>
                <w:sz w:val="14"/>
                <w:szCs w:val="14"/>
                <w:color w:val="auto"/>
                <w:w w:val="92"/>
              </w:rPr>
              <w:t>(Decrease)</w:t>
            </w:r>
          </w:p>
        </w:tc>
        <w:tc>
          <w:tcPr>
            <w:tcW w:w="106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color w:val="auto"/>
              </w:rPr>
              <w:t>2018</w:t>
            </w:r>
          </w:p>
        </w:tc>
        <w:tc>
          <w:tcPr>
            <w:tcW w:w="6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color w:val="auto"/>
                <w:w w:val="96"/>
              </w:rPr>
              <w:t>2017</w:t>
            </w:r>
          </w:p>
        </w:tc>
        <w:tc>
          <w:tcPr>
            <w:tcW w:w="5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19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color w:val="auto"/>
              </w:rPr>
              <w:t>%</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9"/>
              <w:spacing w:after="0"/>
              <w:rPr>
                <w:sz w:val="20"/>
                <w:szCs w:val="20"/>
                <w:color w:val="auto"/>
              </w:rPr>
            </w:pPr>
            <w:r>
              <w:rPr>
                <w:rFonts w:ascii="Arial" w:cs="Arial" w:eastAsia="Arial" w:hAnsi="Arial"/>
                <w:sz w:val="18"/>
                <w:szCs w:val="18"/>
                <w:color w:val="auto"/>
              </w:rPr>
              <w:t>255</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205</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99"/>
              <w:spacing w:after="0"/>
              <w:rPr>
                <w:sz w:val="20"/>
                <w:szCs w:val="20"/>
                <w:color w:val="auto"/>
              </w:rPr>
            </w:pPr>
            <w:r>
              <w:rPr>
                <w:rFonts w:ascii="Arial" w:cs="Arial" w:eastAsia="Arial" w:hAnsi="Arial"/>
                <w:sz w:val="18"/>
                <w:szCs w:val="18"/>
                <w:color w:val="auto"/>
              </w:rPr>
              <w:t>50</w:t>
            </w:r>
          </w:p>
        </w:tc>
        <w:tc>
          <w:tcPr>
            <w:tcW w:w="1060" w:type="dxa"/>
            <w:vAlign w:val="bottom"/>
          </w:tcPr>
          <w:p>
            <w:pPr>
              <w:jc w:val="right"/>
              <w:spacing w:after="0"/>
              <w:rPr>
                <w:sz w:val="20"/>
                <w:szCs w:val="20"/>
                <w:color w:val="auto"/>
              </w:rPr>
            </w:pPr>
            <w:r>
              <w:rPr>
                <w:rFonts w:ascii="Arial" w:cs="Arial" w:eastAsia="Arial" w:hAnsi="Arial"/>
                <w:sz w:val="18"/>
                <w:szCs w:val="18"/>
                <w:color w:val="auto"/>
              </w:rPr>
              <w:t>23.8 %</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340" w:type="dxa"/>
            <w:vAlign w:val="bottom"/>
          </w:tcPr>
          <w:p>
            <w:pPr>
              <w:spacing w:after="0"/>
              <w:rPr>
                <w:sz w:val="23"/>
                <w:szCs w:val="23"/>
                <w:color w:val="auto"/>
              </w:rPr>
            </w:pPr>
          </w:p>
        </w:tc>
        <w:tc>
          <w:tcPr>
            <w:tcW w:w="1200" w:type="dxa"/>
            <w:vAlign w:val="bottom"/>
          </w:tcPr>
          <w:p>
            <w:pPr>
              <w:jc w:val="right"/>
              <w:ind w:right="119"/>
              <w:spacing w:after="0"/>
              <w:rPr>
                <w:sz w:val="20"/>
                <w:szCs w:val="20"/>
                <w:color w:val="auto"/>
              </w:rPr>
            </w:pPr>
            <w:r>
              <w:rPr>
                <w:rFonts w:ascii="Arial" w:cs="Arial" w:eastAsia="Arial" w:hAnsi="Arial"/>
                <w:sz w:val="18"/>
                <w:szCs w:val="18"/>
                <w:color w:val="auto"/>
              </w:rPr>
              <w:t>647</w:t>
            </w:r>
          </w:p>
        </w:tc>
        <w:tc>
          <w:tcPr>
            <w:tcW w:w="680" w:type="dxa"/>
            <w:vAlign w:val="bottom"/>
          </w:tcPr>
          <w:p>
            <w:pPr>
              <w:spacing w:after="0"/>
              <w:rPr>
                <w:sz w:val="23"/>
                <w:szCs w:val="23"/>
                <w:color w:val="auto"/>
              </w:rPr>
            </w:pP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507</w:t>
            </w:r>
          </w:p>
        </w:tc>
        <w:tc>
          <w:tcPr>
            <w:tcW w:w="520" w:type="dxa"/>
            <w:vAlign w:val="bottom"/>
          </w:tcPr>
          <w:p>
            <w:pPr>
              <w:spacing w:after="0"/>
              <w:rPr>
                <w:sz w:val="23"/>
                <w:szCs w:val="23"/>
                <w:color w:val="auto"/>
              </w:rPr>
            </w:pPr>
          </w:p>
        </w:tc>
        <w:tc>
          <w:tcPr>
            <w:tcW w:w="1640" w:type="dxa"/>
            <w:vAlign w:val="bottom"/>
          </w:tcPr>
          <w:p>
            <w:pPr>
              <w:jc w:val="right"/>
              <w:ind w:right="599"/>
              <w:spacing w:after="0"/>
              <w:rPr>
                <w:sz w:val="20"/>
                <w:szCs w:val="20"/>
                <w:color w:val="auto"/>
              </w:rPr>
            </w:pPr>
            <w:r>
              <w:rPr>
                <w:rFonts w:ascii="Arial" w:cs="Arial" w:eastAsia="Arial" w:hAnsi="Arial"/>
                <w:sz w:val="18"/>
                <w:szCs w:val="18"/>
                <w:color w:val="auto"/>
              </w:rPr>
              <w:t>140</w:t>
            </w: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27.6</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59"/>
              <w:spacing w:after="0"/>
              <w:rPr>
                <w:sz w:val="20"/>
                <w:szCs w:val="20"/>
                <w:color w:val="auto"/>
              </w:rPr>
            </w:pPr>
            <w:r>
              <w:rPr>
                <w:rFonts w:ascii="Arial" w:cs="Arial" w:eastAsia="Arial" w:hAnsi="Arial"/>
                <w:sz w:val="18"/>
                <w:szCs w:val="18"/>
                <w:b w:val="1"/>
                <w:bCs w:val="1"/>
                <w:color w:val="auto"/>
              </w:rPr>
              <w:t>(392)</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4"/>
              <w:spacing w:after="0"/>
              <w:rPr>
                <w:sz w:val="20"/>
                <w:szCs w:val="20"/>
                <w:color w:val="auto"/>
              </w:rPr>
            </w:pPr>
            <w:r>
              <w:rPr>
                <w:rFonts w:ascii="Arial" w:cs="Arial" w:eastAsia="Arial" w:hAnsi="Arial"/>
                <w:sz w:val="18"/>
                <w:szCs w:val="18"/>
                <w:b w:val="1"/>
                <w:bCs w:val="1"/>
                <w:color w:val="auto"/>
              </w:rPr>
              <w:t>(302)</w:t>
            </w:r>
          </w:p>
        </w:tc>
        <w:tc>
          <w:tcPr>
            <w:tcW w:w="5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39"/>
              <w:spacing w:after="0"/>
              <w:rPr>
                <w:sz w:val="20"/>
                <w:szCs w:val="20"/>
                <w:color w:val="auto"/>
              </w:rPr>
            </w:pPr>
            <w:r>
              <w:rPr>
                <w:rFonts w:ascii="Arial" w:cs="Arial" w:eastAsia="Arial" w:hAnsi="Arial"/>
                <w:sz w:val="18"/>
                <w:szCs w:val="18"/>
                <w:b w:val="1"/>
                <w:bCs w:val="1"/>
                <w:color w:val="auto"/>
              </w:rPr>
              <w:t>(90)</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(30.1)%</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427"/>
        </w:trPr>
        <w:tc>
          <w:tcPr>
            <w:tcW w:w="4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gridSpan w:val="2"/>
          </w:tcPr>
          <w:p>
            <w:pPr>
              <w:jc w:val="center"/>
              <w:ind w:left="519"/>
              <w:spacing w:after="0"/>
              <w:rPr>
                <w:sz w:val="20"/>
                <w:szCs w:val="20"/>
                <w:color w:val="auto"/>
              </w:rPr>
            </w:pPr>
            <w:r>
              <w:rPr>
                <w:rFonts w:ascii="Arial" w:cs="Arial" w:eastAsia="Arial" w:hAnsi="Arial"/>
                <w:sz w:val="14"/>
                <w:szCs w:val="14"/>
                <w:color w:val="auto"/>
                <w:w w:val="95"/>
              </w:rPr>
              <w:t>Six Months Ended</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jc w:val="center"/>
              <w:ind w:left="599"/>
              <w:spacing w:after="0"/>
              <w:rPr>
                <w:sz w:val="20"/>
                <w:szCs w:val="20"/>
                <w:color w:val="auto"/>
              </w:rPr>
            </w:pPr>
            <w:r>
              <w:rPr>
                <w:rFonts w:ascii="Arial" w:cs="Arial" w:eastAsia="Arial" w:hAnsi="Arial"/>
                <w:sz w:val="14"/>
                <w:szCs w:val="14"/>
                <w:color w:val="auto"/>
                <w:w w:val="90"/>
              </w:rPr>
              <w:t>Increase/</w:t>
            </w:r>
          </w:p>
        </w:tc>
        <w:tc>
          <w:tcPr>
            <w:tcW w:w="1060" w:type="dxa"/>
            <w:vAlign w:val="bottom"/>
          </w:tcPr>
          <w:p>
            <w:pPr>
              <w:spacing w:after="0"/>
              <w:rPr>
                <w:sz w:val="24"/>
                <w:szCs w:val="24"/>
                <w:color w:val="auto"/>
              </w:rPr>
            </w:pPr>
          </w:p>
        </w:tc>
      </w:tr>
      <w:tr>
        <w:trPr>
          <w:trHeight w:val="188"/>
        </w:trPr>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4"/>
                <w:szCs w:val="14"/>
                <w:color w:val="auto"/>
                <w:w w:val="88"/>
              </w:rPr>
              <w:t>June 30</w:t>
            </w:r>
          </w:p>
        </w:tc>
        <w:tc>
          <w:tcPr>
            <w:tcW w:w="10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left="599"/>
              <w:spacing w:after="0"/>
              <w:rPr>
                <w:sz w:val="20"/>
                <w:szCs w:val="20"/>
                <w:color w:val="auto"/>
              </w:rPr>
            </w:pPr>
            <w:r>
              <w:rPr>
                <w:rFonts w:ascii="Arial" w:cs="Arial" w:eastAsia="Arial" w:hAnsi="Arial"/>
                <w:sz w:val="14"/>
                <w:szCs w:val="14"/>
                <w:color w:val="auto"/>
                <w:w w:val="92"/>
              </w:rPr>
              <w:t>(Decrease)</w:t>
            </w:r>
          </w:p>
        </w:tc>
        <w:tc>
          <w:tcPr>
            <w:tcW w:w="1060" w:type="dxa"/>
            <w:vAlign w:val="bottom"/>
            <w:tcBorders>
              <w:bottom w:val="single" w:sz="8" w:color="auto"/>
            </w:tcBorders>
          </w:tcPr>
          <w:p>
            <w:pPr>
              <w:spacing w:after="0"/>
              <w:rPr>
                <w:sz w:val="16"/>
                <w:szCs w:val="16"/>
                <w:color w:val="auto"/>
              </w:rPr>
            </w:pPr>
          </w:p>
        </w:tc>
      </w:tr>
      <w:tr>
        <w:trPr>
          <w:trHeight w:val="196"/>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color w:val="auto"/>
              </w:rPr>
              <w:t>2018</w:t>
            </w:r>
          </w:p>
        </w:tc>
        <w:tc>
          <w:tcPr>
            <w:tcW w:w="6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color w:val="auto"/>
                <w:w w:val="96"/>
              </w:rPr>
              <w:t>2017</w:t>
            </w:r>
          </w:p>
        </w:tc>
        <w:tc>
          <w:tcPr>
            <w:tcW w:w="5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19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color w:val="auto"/>
              </w:rPr>
              <w:t>%</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9"/>
              <w:spacing w:after="0"/>
              <w:rPr>
                <w:sz w:val="20"/>
                <w:szCs w:val="20"/>
                <w:color w:val="auto"/>
              </w:rPr>
            </w:pPr>
            <w:r>
              <w:rPr>
                <w:rFonts w:ascii="Arial" w:cs="Arial" w:eastAsia="Arial" w:hAnsi="Arial"/>
                <w:sz w:val="18"/>
                <w:szCs w:val="18"/>
                <w:color w:val="auto"/>
              </w:rPr>
              <w:t>646</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413</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99"/>
              <w:spacing w:after="0"/>
              <w:rPr>
                <w:sz w:val="20"/>
                <w:szCs w:val="20"/>
                <w:color w:val="auto"/>
              </w:rPr>
            </w:pPr>
            <w:r>
              <w:rPr>
                <w:rFonts w:ascii="Arial" w:cs="Arial" w:eastAsia="Arial" w:hAnsi="Arial"/>
                <w:sz w:val="18"/>
                <w:szCs w:val="18"/>
                <w:color w:val="auto"/>
              </w:rPr>
              <w:t>233</w:t>
            </w:r>
          </w:p>
        </w:tc>
        <w:tc>
          <w:tcPr>
            <w:tcW w:w="1060" w:type="dxa"/>
            <w:vAlign w:val="bottom"/>
          </w:tcPr>
          <w:p>
            <w:pPr>
              <w:jc w:val="right"/>
              <w:spacing w:after="0"/>
              <w:rPr>
                <w:sz w:val="20"/>
                <w:szCs w:val="20"/>
                <w:color w:val="auto"/>
              </w:rPr>
            </w:pPr>
            <w:r>
              <w:rPr>
                <w:rFonts w:ascii="Arial" w:cs="Arial" w:eastAsia="Arial" w:hAnsi="Arial"/>
                <w:sz w:val="18"/>
                <w:szCs w:val="18"/>
                <w:color w:val="auto"/>
              </w:rPr>
              <w:t>56.2 %</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340" w:type="dxa"/>
            <w:vAlign w:val="bottom"/>
          </w:tcPr>
          <w:p>
            <w:pPr>
              <w:spacing w:after="0"/>
              <w:rPr>
                <w:sz w:val="23"/>
                <w:szCs w:val="23"/>
                <w:color w:val="auto"/>
              </w:rPr>
            </w:pPr>
          </w:p>
        </w:tc>
        <w:tc>
          <w:tcPr>
            <w:tcW w:w="1200" w:type="dxa"/>
            <w:vAlign w:val="bottom"/>
          </w:tcPr>
          <w:p>
            <w:pPr>
              <w:jc w:val="right"/>
              <w:ind w:right="119"/>
              <w:spacing w:after="0"/>
              <w:rPr>
                <w:sz w:val="20"/>
                <w:szCs w:val="20"/>
                <w:color w:val="auto"/>
              </w:rPr>
            </w:pPr>
            <w:r>
              <w:rPr>
                <w:rFonts w:ascii="Arial" w:cs="Arial" w:eastAsia="Arial" w:hAnsi="Arial"/>
                <w:sz w:val="18"/>
                <w:szCs w:val="18"/>
                <w:color w:val="auto"/>
              </w:rPr>
              <w:t>1,435</w:t>
            </w:r>
          </w:p>
        </w:tc>
        <w:tc>
          <w:tcPr>
            <w:tcW w:w="680" w:type="dxa"/>
            <w:vAlign w:val="bottom"/>
          </w:tcPr>
          <w:p>
            <w:pPr>
              <w:spacing w:after="0"/>
              <w:rPr>
                <w:sz w:val="23"/>
                <w:szCs w:val="23"/>
                <w:color w:val="auto"/>
              </w:rPr>
            </w:pP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909</w:t>
            </w:r>
          </w:p>
        </w:tc>
        <w:tc>
          <w:tcPr>
            <w:tcW w:w="520" w:type="dxa"/>
            <w:vAlign w:val="bottom"/>
          </w:tcPr>
          <w:p>
            <w:pPr>
              <w:spacing w:after="0"/>
              <w:rPr>
                <w:sz w:val="23"/>
                <w:szCs w:val="23"/>
                <w:color w:val="auto"/>
              </w:rPr>
            </w:pPr>
          </w:p>
        </w:tc>
        <w:tc>
          <w:tcPr>
            <w:tcW w:w="1640" w:type="dxa"/>
            <w:vAlign w:val="bottom"/>
          </w:tcPr>
          <w:p>
            <w:pPr>
              <w:jc w:val="right"/>
              <w:ind w:right="599"/>
              <w:spacing w:after="0"/>
              <w:rPr>
                <w:sz w:val="20"/>
                <w:szCs w:val="20"/>
                <w:color w:val="auto"/>
              </w:rPr>
            </w:pPr>
            <w:r>
              <w:rPr>
                <w:rFonts w:ascii="Arial" w:cs="Arial" w:eastAsia="Arial" w:hAnsi="Arial"/>
                <w:sz w:val="18"/>
                <w:szCs w:val="18"/>
                <w:color w:val="auto"/>
              </w:rPr>
              <w:t>526</w:t>
            </w: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57.9</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59"/>
              <w:spacing w:after="0"/>
              <w:rPr>
                <w:sz w:val="20"/>
                <w:szCs w:val="20"/>
                <w:color w:val="auto"/>
              </w:rPr>
            </w:pPr>
            <w:r>
              <w:rPr>
                <w:rFonts w:ascii="Arial" w:cs="Arial" w:eastAsia="Arial" w:hAnsi="Arial"/>
                <w:sz w:val="18"/>
                <w:szCs w:val="18"/>
                <w:b w:val="1"/>
                <w:bCs w:val="1"/>
                <w:color w:val="auto"/>
              </w:rPr>
              <w:t>(789)</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4"/>
              <w:spacing w:after="0"/>
              <w:rPr>
                <w:sz w:val="20"/>
                <w:szCs w:val="20"/>
                <w:color w:val="auto"/>
              </w:rPr>
            </w:pPr>
            <w:r>
              <w:rPr>
                <w:rFonts w:ascii="Arial" w:cs="Arial" w:eastAsia="Arial" w:hAnsi="Arial"/>
                <w:sz w:val="18"/>
                <w:szCs w:val="18"/>
                <w:b w:val="1"/>
                <w:bCs w:val="1"/>
                <w:color w:val="auto"/>
              </w:rPr>
              <w:t>(496)</w:t>
            </w:r>
          </w:p>
        </w:tc>
        <w:tc>
          <w:tcPr>
            <w:tcW w:w="5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39"/>
              <w:spacing w:after="0"/>
              <w:rPr>
                <w:sz w:val="20"/>
                <w:szCs w:val="20"/>
                <w:color w:val="auto"/>
              </w:rPr>
            </w:pPr>
            <w:r>
              <w:rPr>
                <w:rFonts w:ascii="Arial" w:cs="Arial" w:eastAsia="Arial" w:hAnsi="Arial"/>
                <w:sz w:val="18"/>
                <w:szCs w:val="18"/>
                <w:b w:val="1"/>
                <w:bCs w:val="1"/>
                <w:color w:val="auto"/>
              </w:rPr>
              <w:t>(293)</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(59.3)%</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Other—Revenue</w:t>
      </w:r>
    </w:p>
    <w:p>
      <w:pPr>
        <w:spacing w:after="0" w:line="1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revenue primarily relates to revenue from business development initiatives, such as our wireless phone service that launched in 2017, and from Comcast Spectacor, which owns the Philadelphia Flyers and the Wells Fargo Center arena in Philadelphia, Pennsylvania.</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Corporate and Other revenue increased for the three and six months ended June 30, 2018 primarily due to revenue associated with our wireless phone service, which was partially offset by decreases in revenue due to the sale of a business in the third quarter of 2017 and the sale of a controlling interest in our arena management-related businesses in the second quarter of 2018.</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Other—Operating Costs and Expenses</w:t>
      </w:r>
    </w:p>
    <w:p>
      <w:pPr>
        <w:spacing w:after="0" w:line="1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Corporate and Other operating costs and expenses primarily include overhead, personnel costs, the costs of other business development initiatives, including our wireless phone service, and operating costs and expenses associated with Comcast Spectacor.</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Corporate and Other operating costs and expenses increased for the three and six months ended June 30, 2018 primarily due to expenses associated with our wireless phone service, which were partially offset by declines in operating costs and expenses due</w:t>
      </w:r>
    </w:p>
    <w:p>
      <w:pPr>
        <w:sectPr>
          <w:pgSz w:w="11900" w:h="16838" w:orient="portrait"/>
          <w:cols w:equalWidth="0" w:num="1">
            <w:col w:w="11420"/>
          </w:cols>
          <w:pgMar w:left="240" w:top="17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75" w:right="23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the sale a business in the third quarter of 2017 and the sale of a controlling interest in our arena management-related businesses in the second quarter of 2018.</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Interest Expense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increased for the three and six months ended June 30, 2018 compared to the same periods in 2017 primarily due to increases in our debt outstanding.</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Investment and Other Income (Loss), Net</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20" w:type="dxa"/>
            <w:vAlign w:val="bottom"/>
          </w:tcPr>
          <w:p>
            <w:pPr>
              <w:spacing w:after="0"/>
              <w:rPr>
                <w:sz w:val="14"/>
                <w:szCs w:val="14"/>
                <w:color w:val="auto"/>
              </w:rPr>
            </w:pPr>
          </w:p>
        </w:tc>
      </w:tr>
      <w:tr>
        <w:trPr>
          <w:trHeight w:val="188"/>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4"/>
                <w:szCs w:val="14"/>
                <w:color w:val="auto"/>
              </w:rPr>
              <w:t>June 30</w:t>
            </w:r>
          </w:p>
        </w:tc>
        <w:tc>
          <w:tcPr>
            <w:tcW w:w="9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color w:val="auto"/>
              </w:rPr>
              <w:t>2018</w:t>
            </w: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color w:val="auto"/>
                <w:w w:val="89"/>
              </w:rPr>
              <w:t>2017</w:t>
            </w: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color w:val="auto"/>
              </w:rPr>
              <w:t>2018</w:t>
            </w:r>
          </w:p>
        </w:tc>
        <w:tc>
          <w:tcPr>
            <w:tcW w:w="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w w:val="96"/>
              </w:rPr>
              <w:t>2017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Equity in net income (losses) of investees, net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8"/>
              <w:spacing w:after="0"/>
              <w:rPr>
                <w:sz w:val="20"/>
                <w:szCs w:val="20"/>
                <w:color w:val="auto"/>
              </w:rPr>
            </w:pPr>
            <w:r>
              <w:rPr>
                <w:rFonts w:ascii="Arial" w:cs="Arial" w:eastAsia="Arial" w:hAnsi="Arial"/>
                <w:sz w:val="18"/>
                <w:szCs w:val="18"/>
                <w:color w:val="auto"/>
              </w:rPr>
              <w:t>69</w:t>
            </w:r>
          </w:p>
        </w:tc>
        <w:tc>
          <w:tcPr>
            <w:tcW w:w="6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15</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8"/>
              <w:spacing w:after="0"/>
              <w:rPr>
                <w:sz w:val="20"/>
                <w:szCs w:val="20"/>
                <w:color w:val="auto"/>
              </w:rPr>
            </w:pPr>
            <w:r>
              <w:rPr>
                <w:rFonts w:ascii="Arial" w:cs="Arial" w:eastAsia="Arial" w:hAnsi="Arial"/>
                <w:sz w:val="18"/>
                <w:szCs w:val="18"/>
                <w:color w:val="auto"/>
              </w:rPr>
              <w:t>20</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51</w:t>
            </w: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Realized and unrealized gains (losses) on equity securities, net</w:t>
            </w:r>
          </w:p>
        </w:tc>
        <w:tc>
          <w:tcPr>
            <w:tcW w:w="360" w:type="dxa"/>
            <w:vAlign w:val="bottom"/>
          </w:tcPr>
          <w:p>
            <w:pPr>
              <w:spacing w:after="0"/>
              <w:rPr>
                <w:sz w:val="23"/>
                <w:szCs w:val="23"/>
                <w:color w:val="auto"/>
              </w:rPr>
            </w:pP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(40)</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6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Other income (loss), net</w:t>
            </w:r>
          </w:p>
        </w:tc>
        <w:tc>
          <w:tcPr>
            <w:tcW w:w="360" w:type="dxa"/>
            <w:vAlign w:val="bottom"/>
          </w:tcPr>
          <w:p>
            <w:pPr>
              <w:spacing w:after="0"/>
              <w:rPr>
                <w:sz w:val="23"/>
                <w:szCs w:val="23"/>
                <w:color w:val="auto"/>
              </w:rPr>
            </w:pPr>
          </w:p>
        </w:tc>
        <w:tc>
          <w:tcPr>
            <w:tcW w:w="1180" w:type="dxa"/>
            <w:vAlign w:val="bottom"/>
          </w:tcPr>
          <w:p>
            <w:pPr>
              <w:jc w:val="right"/>
              <w:ind w:right="78"/>
              <w:spacing w:after="0"/>
              <w:rPr>
                <w:sz w:val="20"/>
                <w:szCs w:val="20"/>
                <w:color w:val="auto"/>
              </w:rPr>
            </w:pPr>
            <w:r>
              <w:rPr>
                <w:rFonts w:ascii="Arial" w:cs="Arial" w:eastAsia="Arial" w:hAnsi="Arial"/>
                <w:sz w:val="18"/>
                <w:szCs w:val="18"/>
                <w:color w:val="auto"/>
              </w:rPr>
              <w:t>48</w:t>
            </w:r>
          </w:p>
        </w:tc>
        <w:tc>
          <w:tcPr>
            <w:tcW w:w="660" w:type="dxa"/>
            <w:vAlign w:val="bottom"/>
          </w:tcPr>
          <w:p>
            <w:pPr>
              <w:spacing w:after="0"/>
              <w:rPr>
                <w:sz w:val="23"/>
                <w:szCs w:val="23"/>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86</w:t>
            </w:r>
          </w:p>
        </w:tc>
        <w:tc>
          <w:tcPr>
            <w:tcW w:w="420" w:type="dxa"/>
            <w:vAlign w:val="bottom"/>
          </w:tcPr>
          <w:p>
            <w:pPr>
              <w:spacing w:after="0"/>
              <w:rPr>
                <w:sz w:val="23"/>
                <w:szCs w:val="23"/>
                <w:color w:val="auto"/>
              </w:rPr>
            </w:pPr>
          </w:p>
        </w:tc>
        <w:tc>
          <w:tcPr>
            <w:tcW w:w="1160" w:type="dxa"/>
            <w:vAlign w:val="bottom"/>
          </w:tcPr>
          <w:p>
            <w:pPr>
              <w:jc w:val="right"/>
              <w:ind w:right="58"/>
              <w:spacing w:after="0"/>
              <w:rPr>
                <w:sz w:val="20"/>
                <w:szCs w:val="20"/>
                <w:color w:val="auto"/>
              </w:rPr>
            </w:pPr>
            <w:r>
              <w:rPr>
                <w:rFonts w:ascii="Arial" w:cs="Arial" w:eastAsia="Arial" w:hAnsi="Arial"/>
                <w:sz w:val="18"/>
                <w:szCs w:val="18"/>
                <w:color w:val="auto"/>
              </w:rPr>
              <w:t>195</w:t>
            </w:r>
          </w:p>
        </w:tc>
        <w:tc>
          <w:tcPr>
            <w:tcW w:w="620" w:type="dxa"/>
            <w:vAlign w:val="bottom"/>
          </w:tcPr>
          <w:p>
            <w:pPr>
              <w:spacing w:after="0"/>
              <w:rPr>
                <w:sz w:val="23"/>
                <w:szCs w:val="23"/>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185</w:t>
            </w:r>
          </w:p>
        </w:tc>
      </w:tr>
      <w:tr>
        <w:trPr>
          <w:trHeight w:val="27"/>
        </w:trPr>
        <w:tc>
          <w:tcPr>
            <w:tcW w:w="5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78"/>
              <w:spacing w:after="0"/>
              <w:rPr>
                <w:sz w:val="20"/>
                <w:szCs w:val="20"/>
                <w:color w:val="auto"/>
              </w:rPr>
            </w:pPr>
            <w:r>
              <w:rPr>
                <w:rFonts w:ascii="Arial" w:cs="Arial" w:eastAsia="Arial" w:hAnsi="Arial"/>
                <w:sz w:val="18"/>
                <w:szCs w:val="18"/>
                <w:b w:val="1"/>
                <w:bCs w:val="1"/>
                <w:color w:val="auto"/>
              </w:rPr>
              <w:t>77</w:t>
            </w:r>
          </w:p>
        </w:tc>
        <w:tc>
          <w:tcPr>
            <w:tcW w:w="66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54"/>
              <w:spacing w:after="0"/>
              <w:rPr>
                <w:sz w:val="20"/>
                <w:szCs w:val="20"/>
                <w:color w:val="auto"/>
              </w:rPr>
            </w:pPr>
            <w:r>
              <w:rPr>
                <w:rFonts w:ascii="Arial" w:cs="Arial" w:eastAsia="Arial" w:hAnsi="Arial"/>
                <w:sz w:val="18"/>
                <w:szCs w:val="18"/>
                <w:b w:val="1"/>
                <w:bCs w:val="1"/>
                <w:color w:val="auto"/>
              </w:rPr>
              <w:t>99</w:t>
            </w:r>
          </w:p>
        </w:tc>
        <w:tc>
          <w:tcPr>
            <w:tcW w:w="4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58"/>
              <w:spacing w:after="0"/>
              <w:rPr>
                <w:sz w:val="20"/>
                <w:szCs w:val="20"/>
                <w:color w:val="auto"/>
              </w:rPr>
            </w:pPr>
            <w:r>
              <w:rPr>
                <w:rFonts w:ascii="Arial" w:cs="Arial" w:eastAsia="Arial" w:hAnsi="Arial"/>
                <w:sz w:val="18"/>
                <w:szCs w:val="18"/>
                <w:b w:val="1"/>
                <w:bCs w:val="1"/>
                <w:color w:val="auto"/>
              </w:rPr>
              <w:t>203</w:t>
            </w:r>
          </w:p>
        </w:tc>
        <w:tc>
          <w:tcPr>
            <w:tcW w:w="62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b w:val="1"/>
                <w:bCs w:val="1"/>
                <w:color w:val="auto"/>
              </w:rPr>
              <w:t>229</w:t>
            </w:r>
          </w:p>
        </w:tc>
      </w:tr>
      <w:tr>
        <w:trPr>
          <w:trHeight w:val="34"/>
        </w:trPr>
        <w:tc>
          <w:tcPr>
            <w:tcW w:w="5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Net Income (Losses) of Investees, Net</w:t>
      </w:r>
    </w:p>
    <w:p>
      <w:pPr>
        <w:spacing w:after="0" w:line="18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changes in equity in net income (losses) of investees, net for the three and six months ended June 30, 2018 compared to the same periods in 2017 were primarily related to our equity method investments in Atairos and Hulu. The losses at Hulu were primarily due to higher programming and marketing costs. The equity in net income (losses) of Atairos and Hulu for the three and six months ended June 30, 2018 and 2017 are presented in the table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20" w:type="dxa"/>
            <w:vAlign w:val="bottom"/>
          </w:tcPr>
          <w:p>
            <w:pPr>
              <w:spacing w:after="0"/>
              <w:rPr>
                <w:sz w:val="14"/>
                <w:szCs w:val="14"/>
                <w:color w:val="auto"/>
              </w:rPr>
            </w:pPr>
          </w:p>
        </w:tc>
      </w:tr>
      <w:tr>
        <w:trPr>
          <w:trHeight w:val="188"/>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4"/>
                <w:szCs w:val="14"/>
                <w:color w:val="auto"/>
              </w:rPr>
              <w:t>June 30</w:t>
            </w:r>
          </w:p>
        </w:tc>
        <w:tc>
          <w:tcPr>
            <w:tcW w:w="9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color w:val="auto"/>
              </w:rPr>
              <w:t>2018</w:t>
            </w: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color w:val="auto"/>
                <w:w w:val="89"/>
              </w:rPr>
              <w:t>2017</w:t>
            </w: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color w:val="auto"/>
              </w:rPr>
              <w:t>2018</w:t>
            </w:r>
          </w:p>
        </w:tc>
        <w:tc>
          <w:tcPr>
            <w:tcW w:w="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w w:val="96"/>
              </w:rPr>
              <w:t>2017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Atairos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81"/>
              <w:spacing w:after="0"/>
              <w:rPr>
                <w:sz w:val="20"/>
                <w:szCs w:val="20"/>
                <w:color w:val="auto"/>
              </w:rPr>
            </w:pPr>
            <w:r>
              <w:rPr>
                <w:rFonts w:ascii="Arial" w:cs="Arial" w:eastAsia="Arial" w:hAnsi="Arial"/>
                <w:sz w:val="18"/>
                <w:szCs w:val="18"/>
                <w:color w:val="auto"/>
              </w:rPr>
              <w:t>151</w:t>
            </w:r>
          </w:p>
        </w:tc>
        <w:tc>
          <w:tcPr>
            <w:tcW w:w="6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42</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61"/>
              <w:spacing w:after="0"/>
              <w:rPr>
                <w:sz w:val="20"/>
                <w:szCs w:val="20"/>
                <w:color w:val="auto"/>
              </w:rPr>
            </w:pPr>
            <w:r>
              <w:rPr>
                <w:rFonts w:ascii="Arial" w:cs="Arial" w:eastAsia="Arial" w:hAnsi="Arial"/>
                <w:sz w:val="18"/>
                <w:szCs w:val="18"/>
                <w:color w:val="auto"/>
              </w:rPr>
              <w:t>186</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99</w:t>
            </w: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Hulu</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21"/>
              <w:spacing w:after="0"/>
              <w:rPr>
                <w:sz w:val="20"/>
                <w:szCs w:val="20"/>
                <w:color w:val="auto"/>
              </w:rPr>
            </w:pPr>
            <w:r>
              <w:rPr>
                <w:rFonts w:ascii="Arial" w:cs="Arial" w:eastAsia="Arial" w:hAnsi="Arial"/>
                <w:sz w:val="18"/>
                <w:szCs w:val="18"/>
                <w:color w:val="auto"/>
              </w:rPr>
              <w:t>(107)</w:t>
            </w:r>
          </w:p>
        </w:tc>
        <w:tc>
          <w:tcPr>
            <w:tcW w:w="6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
              <w:spacing w:after="0"/>
              <w:rPr>
                <w:sz w:val="20"/>
                <w:szCs w:val="20"/>
                <w:color w:val="auto"/>
              </w:rPr>
            </w:pPr>
            <w:r>
              <w:rPr>
                <w:rFonts w:ascii="Arial" w:cs="Arial" w:eastAsia="Arial" w:hAnsi="Arial"/>
                <w:sz w:val="18"/>
                <w:szCs w:val="18"/>
                <w:color w:val="auto"/>
              </w:rPr>
              <w:t>(238)</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5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Realized and Unrealized Gains (Losses) on Equity Securities, Net</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changes in realized and unrealized gains (losses) on equity securities, net for the three and six months ended June 30, 2018 compared to the same periods in 2017 were primarily due to the adoption of updated accounting guidance for our marketable equity securities, which primarily relates to our investment in Snap (see Note 9).</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(Loss), Net</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(loss), net for the six months ended June 30, 2018 included a $64 million pretax gain related to the sale of our investment in The Weather Channel cable network (see Note 9).</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Income Tax Expense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tax expense for the three and six months ended June 30, 2018 and 2017 reflects an effective income tax rate that differs from the federal statutory rate primarily due to state and foreign income taxes and adjustments associated with uncertain tax positions. The decreases in income tax expense for the three and six months ended June 30, 2018 compared to the same periods in 2017 were primarily due to the effects of the 2017 Tax Act, which were partially offset by higher taxable income from operations. The 2017 Tax Act, among other things, reduced the federal corporate income tax rate to 21% from 35%, effective January 1, 2018. We also recognized an income tax benefit of $128 million during the first quarter of 2018 related to the enactment of additional federal tax legislation in 2018.</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Consolidated 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w:t>
      </w:r>
    </w:p>
    <w:p>
      <w:pPr>
        <w:sectPr>
          <w:pgSz w:w="11900" w:h="16838" w:orient="portrait"/>
          <w:cols w:equalWidth="0" w:num="1">
            <w:col w:w="11420"/>
          </w:cols>
          <w:pgMar w:left="240" w:top="175" w:right="239" w:bottom="1440" w:gutter="0" w:footer="0" w:header="0"/>
        </w:sect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75" w:right="23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consolidated Adjusted EBITDA may not be directly comparable to similar measures used by other companies.</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define consolidated Adjusted EBITDA as net income attributable to Comcast Corporation before net income (loss) attributable to noncontrolling interests and redeemable subsidiary preferred stock,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reconcile consolidated Adjusted EBITDA to net income attributable to Comcast Corporation. This measure should not be considered a substitute for operating income, net income, net income attributable to Comcast Corporation, or net cash provided by operating activities that we have reported in accordance with GAAP.</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from Net Income Attributable to Comcast Corporation to Adjusted EBITDA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880" w:type="dxa"/>
            <w:vAlign w:val="bottom"/>
          </w:tcPr>
          <w:p>
            <w:pPr>
              <w:spacing w:after="0"/>
              <w:rPr>
                <w:sz w:val="14"/>
                <w:szCs w:val="14"/>
                <w:color w:val="auto"/>
              </w:rPr>
            </w:pPr>
          </w:p>
        </w:tc>
      </w:tr>
      <w:tr>
        <w:trPr>
          <w:trHeight w:val="188"/>
        </w:trPr>
        <w:tc>
          <w:tcPr>
            <w:tcW w:w="5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4"/>
                <w:szCs w:val="14"/>
                <w:color w:val="auto"/>
              </w:rPr>
              <w:t>June 30</w:t>
            </w:r>
          </w:p>
        </w:tc>
        <w:tc>
          <w:tcPr>
            <w:tcW w:w="10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color w:val="auto"/>
              </w:rPr>
              <w:t>June 30</w:t>
            </w:r>
          </w:p>
        </w:tc>
        <w:tc>
          <w:tcPr>
            <w:tcW w:w="880" w:type="dxa"/>
            <w:vAlign w:val="bottom"/>
            <w:tcBorders>
              <w:bottom w:val="single" w:sz="8" w:color="auto"/>
            </w:tcBorders>
          </w:tcPr>
          <w:p>
            <w:pPr>
              <w:spacing w:after="0"/>
              <w:rPr>
                <w:sz w:val="16"/>
                <w:szCs w:val="16"/>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color w:val="auto"/>
              </w:rPr>
              <w:t>2018</w:t>
            </w:r>
          </w:p>
        </w:tc>
        <w:tc>
          <w:tcPr>
            <w:tcW w:w="6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2017</w:t>
            </w: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color w:val="auto"/>
              </w:rPr>
              <w:t>2018</w:t>
            </w: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color w:val="auto"/>
              </w:rPr>
              <w:t>2017</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Pr>
          <w:p>
            <w:pPr>
              <w:jc w:val="right"/>
              <w:ind w:right="134"/>
              <w:spacing w:after="0"/>
              <w:rPr>
                <w:sz w:val="20"/>
                <w:szCs w:val="20"/>
                <w:color w:val="auto"/>
              </w:rPr>
            </w:pPr>
            <w:r>
              <w:rPr>
                <w:rFonts w:ascii="Arial" w:cs="Arial" w:eastAsia="Arial" w:hAnsi="Arial"/>
                <w:sz w:val="18"/>
                <w:szCs w:val="18"/>
                <w:b w:val="1"/>
                <w:bCs w:val="1"/>
                <w:color w:val="auto"/>
              </w:rPr>
              <w:t>3,216</w:t>
            </w:r>
          </w:p>
        </w:tc>
        <w:tc>
          <w:tcPr>
            <w:tcW w:w="68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b w:val="1"/>
                <w:bCs w:val="1"/>
                <w:color w:val="auto"/>
              </w:rPr>
              <w:t>2,521</w:t>
            </w:r>
          </w:p>
        </w:tc>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14"/>
              <w:spacing w:after="0"/>
              <w:rPr>
                <w:sz w:val="20"/>
                <w:szCs w:val="20"/>
                <w:color w:val="auto"/>
              </w:rPr>
            </w:pPr>
            <w:r>
              <w:rPr>
                <w:rFonts w:ascii="Arial" w:cs="Arial" w:eastAsia="Arial" w:hAnsi="Arial"/>
                <w:sz w:val="18"/>
                <w:szCs w:val="18"/>
                <w:b w:val="1"/>
                <w:bCs w:val="1"/>
                <w:color w:val="auto"/>
              </w:rPr>
              <w:t>6,334</w:t>
            </w:r>
          </w:p>
        </w:tc>
        <w:tc>
          <w:tcPr>
            <w:tcW w:w="60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5,094</w:t>
            </w:r>
          </w:p>
        </w:tc>
      </w:tr>
      <w:tr>
        <w:trPr>
          <w:trHeight w:val="256"/>
        </w:trPr>
        <w:tc>
          <w:tcPr>
            <w:tcW w:w="504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interests and</w:t>
            </w: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30"/>
        </w:trPr>
        <w:tc>
          <w:tcPr>
            <w:tcW w:w="5040" w:type="dxa"/>
            <w:vAlign w:val="bottom"/>
          </w:tcPr>
          <w:p>
            <w:pPr>
              <w:ind w:left="200"/>
              <w:spacing w:after="0"/>
              <w:rPr>
                <w:sz w:val="20"/>
                <w:szCs w:val="20"/>
                <w:color w:val="auto"/>
              </w:rPr>
            </w:pPr>
            <w:r>
              <w:rPr>
                <w:rFonts w:ascii="Arial" w:cs="Arial" w:eastAsia="Arial" w:hAnsi="Arial"/>
                <w:sz w:val="18"/>
                <w:szCs w:val="18"/>
                <w:color w:val="auto"/>
              </w:rPr>
              <w:t>redeemable subsidiary preferred stock</w:t>
            </w:r>
          </w:p>
        </w:tc>
        <w:tc>
          <w:tcPr>
            <w:tcW w:w="360" w:type="dxa"/>
            <w:vAlign w:val="bottom"/>
          </w:tcPr>
          <w:p>
            <w:pPr>
              <w:spacing w:after="0"/>
              <w:rPr>
                <w:sz w:val="20"/>
                <w:szCs w:val="20"/>
                <w:color w:val="auto"/>
              </w:rPr>
            </w:pP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(8)</w:t>
            </w:r>
          </w:p>
        </w:tc>
        <w:tc>
          <w:tcPr>
            <w:tcW w:w="6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20"/>
                <w:szCs w:val="20"/>
                <w:color w:val="auto"/>
              </w:rPr>
            </w:pP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50</w:t>
            </w:r>
          </w:p>
        </w:tc>
        <w:tc>
          <w:tcPr>
            <w:tcW w:w="60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103</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3"/>
                <w:szCs w:val="23"/>
                <w:color w:val="auto"/>
              </w:rPr>
            </w:pPr>
          </w:p>
        </w:tc>
        <w:tc>
          <w:tcPr>
            <w:tcW w:w="1240" w:type="dxa"/>
            <w:vAlign w:val="bottom"/>
          </w:tcPr>
          <w:p>
            <w:pPr>
              <w:jc w:val="right"/>
              <w:ind w:right="134"/>
              <w:spacing w:after="0"/>
              <w:rPr>
                <w:sz w:val="20"/>
                <w:szCs w:val="20"/>
                <w:color w:val="auto"/>
              </w:rPr>
            </w:pPr>
            <w:r>
              <w:rPr>
                <w:rFonts w:ascii="Arial" w:cs="Arial" w:eastAsia="Arial" w:hAnsi="Arial"/>
                <w:sz w:val="18"/>
                <w:szCs w:val="18"/>
                <w:color w:val="auto"/>
              </w:rPr>
              <w:t>1,077</w:t>
            </w:r>
          </w:p>
        </w:tc>
        <w:tc>
          <w:tcPr>
            <w:tcW w:w="680" w:type="dxa"/>
            <w:vAlign w:val="bottom"/>
          </w:tcPr>
          <w:p>
            <w:pPr>
              <w:spacing w:after="0"/>
              <w:rPr>
                <w:sz w:val="23"/>
                <w:szCs w:val="23"/>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1,367</w:t>
            </w:r>
          </w:p>
        </w:tc>
        <w:tc>
          <w:tcPr>
            <w:tcW w:w="440" w:type="dxa"/>
            <w:vAlign w:val="bottom"/>
          </w:tcPr>
          <w:p>
            <w:pPr>
              <w:spacing w:after="0"/>
              <w:rPr>
                <w:sz w:val="23"/>
                <w:szCs w:val="23"/>
                <w:color w:val="auto"/>
              </w:rPr>
            </w:pP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1,895</w:t>
            </w:r>
          </w:p>
        </w:tc>
        <w:tc>
          <w:tcPr>
            <w:tcW w:w="60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2,629</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3"/>
                <w:szCs w:val="23"/>
                <w:color w:val="auto"/>
              </w:rPr>
            </w:pPr>
          </w:p>
        </w:tc>
        <w:tc>
          <w:tcPr>
            <w:tcW w:w="1240" w:type="dxa"/>
            <w:vAlign w:val="bottom"/>
          </w:tcPr>
          <w:p>
            <w:pPr>
              <w:jc w:val="right"/>
              <w:ind w:right="134"/>
              <w:spacing w:after="0"/>
              <w:rPr>
                <w:sz w:val="20"/>
                <w:szCs w:val="20"/>
                <w:color w:val="auto"/>
              </w:rPr>
            </w:pPr>
            <w:r>
              <w:rPr>
                <w:rFonts w:ascii="Arial" w:cs="Arial" w:eastAsia="Arial" w:hAnsi="Arial"/>
                <w:sz w:val="18"/>
                <w:szCs w:val="18"/>
                <w:color w:val="auto"/>
              </w:rPr>
              <w:t>806</w:t>
            </w:r>
          </w:p>
        </w:tc>
        <w:tc>
          <w:tcPr>
            <w:tcW w:w="680" w:type="dxa"/>
            <w:vAlign w:val="bottom"/>
          </w:tcPr>
          <w:p>
            <w:pPr>
              <w:spacing w:after="0"/>
              <w:rPr>
                <w:sz w:val="23"/>
                <w:szCs w:val="23"/>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758</w:t>
            </w:r>
          </w:p>
        </w:tc>
        <w:tc>
          <w:tcPr>
            <w:tcW w:w="440" w:type="dxa"/>
            <w:vAlign w:val="bottom"/>
          </w:tcPr>
          <w:p>
            <w:pPr>
              <w:spacing w:after="0"/>
              <w:rPr>
                <w:sz w:val="23"/>
                <w:szCs w:val="23"/>
                <w:color w:val="auto"/>
              </w:rPr>
            </w:pP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1,583</w:t>
            </w:r>
          </w:p>
        </w:tc>
        <w:tc>
          <w:tcPr>
            <w:tcW w:w="60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1,513</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Investment and other (income) loss, net</w:t>
            </w:r>
          </w:p>
        </w:tc>
        <w:tc>
          <w:tcPr>
            <w:tcW w:w="360" w:type="dxa"/>
            <w:vAlign w:val="bottom"/>
          </w:tcPr>
          <w:p>
            <w:pPr>
              <w:spacing w:after="0"/>
              <w:rPr>
                <w:sz w:val="23"/>
                <w:szCs w:val="23"/>
                <w:color w:val="auto"/>
              </w:rPr>
            </w:pP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(77)</w:t>
            </w:r>
          </w:p>
        </w:tc>
        <w:tc>
          <w:tcPr>
            <w:tcW w:w="68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(99)</w:t>
            </w:r>
          </w:p>
        </w:tc>
        <w:tc>
          <w:tcPr>
            <w:tcW w:w="440" w:type="dxa"/>
            <w:vAlign w:val="bottom"/>
          </w:tcPr>
          <w:p>
            <w:pPr>
              <w:spacing w:after="0"/>
              <w:rPr>
                <w:sz w:val="23"/>
                <w:szCs w:val="23"/>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(203)</w:t>
            </w:r>
          </w:p>
        </w:tc>
        <w:tc>
          <w:tcPr>
            <w:tcW w:w="6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3"/>
                <w:szCs w:val="23"/>
                <w:color w:val="auto"/>
              </w:rPr>
            </w:pPr>
          </w:p>
        </w:tc>
        <w:tc>
          <w:tcPr>
            <w:tcW w:w="1240" w:type="dxa"/>
            <w:vAlign w:val="bottom"/>
          </w:tcPr>
          <w:p>
            <w:pPr>
              <w:jc w:val="right"/>
              <w:ind w:right="134"/>
              <w:spacing w:after="0"/>
              <w:rPr>
                <w:sz w:val="20"/>
                <w:szCs w:val="20"/>
                <w:color w:val="auto"/>
              </w:rPr>
            </w:pPr>
            <w:r>
              <w:rPr>
                <w:rFonts w:ascii="Arial" w:cs="Arial" w:eastAsia="Arial" w:hAnsi="Arial"/>
                <w:sz w:val="18"/>
                <w:szCs w:val="18"/>
                <w:color w:val="auto"/>
              </w:rPr>
              <w:t>2,021</w:t>
            </w:r>
          </w:p>
        </w:tc>
        <w:tc>
          <w:tcPr>
            <w:tcW w:w="680" w:type="dxa"/>
            <w:vAlign w:val="bottom"/>
          </w:tcPr>
          <w:p>
            <w:pPr>
              <w:spacing w:after="0"/>
              <w:rPr>
                <w:sz w:val="23"/>
                <w:szCs w:val="23"/>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1,970</w:t>
            </w:r>
          </w:p>
        </w:tc>
        <w:tc>
          <w:tcPr>
            <w:tcW w:w="440" w:type="dxa"/>
            <w:vAlign w:val="bottom"/>
          </w:tcPr>
          <w:p>
            <w:pPr>
              <w:spacing w:after="0"/>
              <w:rPr>
                <w:sz w:val="23"/>
                <w:szCs w:val="23"/>
                <w:color w:val="auto"/>
              </w:rPr>
            </w:pP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4,032</w:t>
            </w:r>
          </w:p>
        </w:tc>
        <w:tc>
          <w:tcPr>
            <w:tcW w:w="60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3,885</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23"/>
                <w:szCs w:val="23"/>
                <w:color w:val="auto"/>
              </w:rPr>
            </w:pPr>
          </w:p>
        </w:tc>
        <w:tc>
          <w:tcPr>
            <w:tcW w:w="1240" w:type="dxa"/>
            <w:vAlign w:val="bottom"/>
          </w:tcPr>
          <w:p>
            <w:pPr>
              <w:jc w:val="right"/>
              <w:ind w:right="134"/>
              <w:spacing w:after="0"/>
              <w:rPr>
                <w:sz w:val="20"/>
                <w:szCs w:val="20"/>
                <w:color w:val="auto"/>
              </w:rPr>
            </w:pPr>
            <w:r>
              <w:rPr>
                <w:rFonts w:ascii="Arial" w:cs="Arial" w:eastAsia="Arial" w:hAnsi="Arial"/>
                <w:sz w:val="18"/>
                <w:szCs w:val="18"/>
                <w:color w:val="auto"/>
              </w:rPr>
              <w:t>582</w:t>
            </w:r>
          </w:p>
        </w:tc>
        <w:tc>
          <w:tcPr>
            <w:tcW w:w="680" w:type="dxa"/>
            <w:vAlign w:val="bottom"/>
          </w:tcPr>
          <w:p>
            <w:pPr>
              <w:spacing w:after="0"/>
              <w:rPr>
                <w:sz w:val="23"/>
                <w:szCs w:val="23"/>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537</w:t>
            </w:r>
          </w:p>
        </w:tc>
        <w:tc>
          <w:tcPr>
            <w:tcW w:w="440" w:type="dxa"/>
            <w:vAlign w:val="bottom"/>
          </w:tcPr>
          <w:p>
            <w:pPr>
              <w:spacing w:after="0"/>
              <w:rPr>
                <w:sz w:val="23"/>
                <w:szCs w:val="23"/>
                <w:color w:val="auto"/>
              </w:rPr>
            </w:pP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1,170</w:t>
            </w:r>
          </w:p>
        </w:tc>
        <w:tc>
          <w:tcPr>
            <w:tcW w:w="60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1,090</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Other operating gains</w:t>
            </w:r>
          </w:p>
        </w:tc>
        <w:tc>
          <w:tcPr>
            <w:tcW w:w="360" w:type="dxa"/>
            <w:vAlign w:val="bottom"/>
          </w:tcPr>
          <w:p>
            <w:pPr>
              <w:spacing w:after="0"/>
              <w:rPr>
                <w:sz w:val="23"/>
                <w:szCs w:val="23"/>
                <w:color w:val="auto"/>
              </w:rPr>
            </w:pP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(200)</w:t>
            </w:r>
          </w:p>
        </w:tc>
        <w:tc>
          <w:tcPr>
            <w:tcW w:w="680" w:type="dxa"/>
            <w:vAlign w:val="bottom"/>
          </w:tcPr>
          <w:p>
            <w:pPr>
              <w:spacing w:after="0"/>
              <w:rPr>
                <w:sz w:val="23"/>
                <w:szCs w:val="23"/>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(200)</w:t>
            </w:r>
          </w:p>
        </w:tc>
        <w:tc>
          <w:tcPr>
            <w:tcW w:w="60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Pr>
          <w:p>
            <w:pPr>
              <w:jc w:val="right"/>
              <w:ind w:right="134"/>
              <w:spacing w:after="0"/>
              <w:rPr>
                <w:sz w:val="20"/>
                <w:szCs w:val="20"/>
                <w:color w:val="auto"/>
              </w:rPr>
            </w:pPr>
            <w:r>
              <w:rPr>
                <w:rFonts w:ascii="Arial" w:cs="Arial" w:eastAsia="Arial" w:hAnsi="Arial"/>
                <w:sz w:val="18"/>
                <w:szCs w:val="18"/>
                <w:b w:val="1"/>
                <w:bCs w:val="1"/>
                <w:color w:val="auto"/>
              </w:rPr>
              <w:t>7,417</w:t>
            </w:r>
          </w:p>
        </w:tc>
        <w:tc>
          <w:tcPr>
            <w:tcW w:w="68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b w:val="1"/>
                <w:bCs w:val="1"/>
                <w:color w:val="auto"/>
              </w:rPr>
              <w:t>7,075</w:t>
            </w:r>
          </w:p>
        </w:tc>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14"/>
              <w:spacing w:after="0"/>
              <w:rPr>
                <w:sz w:val="20"/>
                <w:szCs w:val="20"/>
                <w:color w:val="auto"/>
              </w:rPr>
            </w:pPr>
            <w:r>
              <w:rPr>
                <w:rFonts w:ascii="Arial" w:cs="Arial" w:eastAsia="Arial" w:hAnsi="Arial"/>
                <w:sz w:val="18"/>
                <w:szCs w:val="18"/>
                <w:b w:val="1"/>
                <w:bCs w:val="1"/>
                <w:color w:val="auto"/>
              </w:rPr>
              <w:t>14,661</w:t>
            </w:r>
          </w:p>
        </w:tc>
        <w:tc>
          <w:tcPr>
            <w:tcW w:w="60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14,085</w:t>
            </w:r>
          </w:p>
        </w:tc>
      </w:tr>
      <w:tr>
        <w:trPr>
          <w:trHeight w:val="34"/>
        </w:trPr>
        <w:tc>
          <w:tcPr>
            <w:tcW w:w="5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facilities; and our ability to obtain future external financing. We anticipate that we will continue to use a substantial portion of our cash flows in repaying our debt obligations, funding our capital expenditures, investing in business opportunities and returning capital to shareholders.</w:t>
      </w:r>
    </w:p>
    <w:p>
      <w:pPr>
        <w:spacing w:after="0" w:line="13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On July 11, 2018, we announced an increased cash offer for the entire issued and to be issued share capital of Sky plc, which has been recommended by the Sky Independent Committee. See Note 6 to Comcast’s condensed consolidated financial statements for additional information on the offer, including the related financing agreements. On July 19, 2018, we announced the withdrawal of our proposed offer for Twenty-First Century Fox, Inc.</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entered into an agreement with a consortium of Chinese state-owned companies to build and operate a Universal theme park and resort in Beijing, China (“Universal Beijing Resort”). We own a 30% interest in Universal Beijing Resort and the construction will be funded through a combination of debt financing and equity contributions from the investors in accordance with their equity interests. The construction will take place over several years and debt financing and equity contributions will occur on a periodic basis. See Note 6 to Comcast’s condensed consolidated financial statements for additional information on Universal Beijing Resort, including the debt financing agreements.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75"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Net Cash Provided by Operating Activities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60" w:type="dxa"/>
            <w:vAlign w:val="bottom"/>
          </w:tcPr>
          <w:p>
            <w:pPr>
              <w:spacing w:after="0"/>
              <w:rPr>
                <w:sz w:val="14"/>
                <w:szCs w:val="14"/>
                <w:color w:val="auto"/>
              </w:rPr>
            </w:pPr>
          </w:p>
        </w:tc>
      </w:tr>
      <w:tr>
        <w:trPr>
          <w:trHeight w:val="188"/>
        </w:trPr>
        <w:tc>
          <w:tcPr>
            <w:tcW w:w="8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color w:val="auto"/>
              </w:rPr>
              <w:t>2018</w:t>
            </w: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color w:val="auto"/>
              </w:rPr>
              <w:t>2017</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9,659</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9,110</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Depreciation, amortization and other operating gains</w:t>
            </w:r>
          </w:p>
        </w:tc>
        <w:tc>
          <w:tcPr>
            <w:tcW w:w="360" w:type="dxa"/>
            <w:vAlign w:val="bottom"/>
          </w:tcPr>
          <w:p>
            <w:pPr>
              <w:spacing w:after="0"/>
              <w:rPr>
                <w:sz w:val="23"/>
                <w:szCs w:val="23"/>
                <w:color w:val="auto"/>
              </w:rPr>
            </w:pP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5,002</w:t>
            </w:r>
          </w:p>
        </w:tc>
        <w:tc>
          <w:tcPr>
            <w:tcW w:w="64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4,975</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Noncash share-based compensation</w:t>
            </w:r>
          </w:p>
        </w:tc>
        <w:tc>
          <w:tcPr>
            <w:tcW w:w="360" w:type="dxa"/>
            <w:vAlign w:val="bottom"/>
          </w:tcPr>
          <w:p>
            <w:pPr>
              <w:spacing w:after="0"/>
              <w:rPr>
                <w:sz w:val="23"/>
                <w:szCs w:val="23"/>
                <w:color w:val="auto"/>
              </w:rPr>
            </w:pP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410</w:t>
            </w:r>
          </w:p>
        </w:tc>
        <w:tc>
          <w:tcPr>
            <w:tcW w:w="64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391</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3"/>
                <w:szCs w:val="23"/>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(692)</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Payments of interest</w:t>
            </w:r>
          </w:p>
        </w:tc>
        <w:tc>
          <w:tcPr>
            <w:tcW w:w="360" w:type="dxa"/>
            <w:vAlign w:val="bottom"/>
          </w:tcPr>
          <w:p>
            <w:pPr>
              <w:spacing w:after="0"/>
              <w:rPr>
                <w:sz w:val="23"/>
                <w:szCs w:val="23"/>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(1,354)</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(1,372)</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Payments of income taxes</w:t>
            </w:r>
          </w:p>
        </w:tc>
        <w:tc>
          <w:tcPr>
            <w:tcW w:w="360" w:type="dxa"/>
            <w:vAlign w:val="bottom"/>
          </w:tcPr>
          <w:p>
            <w:pPr>
              <w:spacing w:after="0"/>
              <w:rPr>
                <w:sz w:val="23"/>
                <w:szCs w:val="23"/>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(623)</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(2,209)</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135</w:t>
            </w:r>
          </w:p>
        </w:tc>
        <w:tc>
          <w:tcPr>
            <w:tcW w:w="64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116</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15"/>
              <w:spacing w:after="0"/>
              <w:rPr>
                <w:sz w:val="20"/>
                <w:szCs w:val="20"/>
                <w:color w:val="auto"/>
              </w:rPr>
            </w:pPr>
            <w:r>
              <w:rPr>
                <w:rFonts w:ascii="Arial" w:cs="Arial" w:eastAsia="Arial" w:hAnsi="Arial"/>
                <w:sz w:val="18"/>
                <w:szCs w:val="18"/>
                <w:b w:val="1"/>
                <w:bCs w:val="1"/>
                <w:color w:val="auto"/>
              </w:rPr>
              <w:t>12,537</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10,749</w:t>
            </w:r>
          </w:p>
        </w:tc>
      </w:tr>
      <w:tr>
        <w:trPr>
          <w:trHeight w:val="34"/>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variance in changes in operating assets and liabilities for the six months ended June 30, 2018 compared to the same period in 2017 was primarily related to the timing of programming spend and receipt of receivables and our broadcast of the 2018 PyeongChang Olympics, which were partially offset by our broadcast of the 2018 Super Bowl.</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decrease in income tax payments for the six months ended June 30, 2018 compared to the same period in 2017 was primarily due to federal income tax overpayments of $871 million related to the 2017 tax year that were applied to reduce tax payments in the current year, as well as a reduction in the federal income tax rate and additional depreciation deductions allowed under the 2017 Tax Act.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cash used in investing activities for the six months ended June 30, 2018 consisted primarily of capital expenditures, cash paid for intangible assets and purchases of investments. Capital expenditures decreased for the six months ended June 30, 2018 compared to the same period in 2017 primarily due to a decrease in spending by our Cable Communications segment on customer premise equipment, which was partially offset by continued investments in scalable infrastructure to increase network capacity and increased investments in line extensions primarily for the expansion of business services. NBCUniversal capital expenditures increased for the six months ended June 30, 2018 compared to the same period in 2017 primarily due to an increase in spending at our Universal theme parks and the timing of infrastructure spending. Purchases of investments for the six months ended June 30, 2018 consisted primarily of our cash capital contributions of $227 million to Hulu and $112 million to Atairos.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8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cash used in financing activities for the six months ended June 30, 2018 consisted primarily of repayments of debt, repurchases of common stock under our share repurchase program and employee plans, and dividend payments, which were partially offset by proceeds from borrowings.</w:t>
      </w:r>
    </w:p>
    <w:p>
      <w:pPr>
        <w:spacing w:after="0" w:line="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made, and may from time to time in the future make, optional repayments on our debt obligations, which may include repurchases or exchanges of our outstanding public notes and debentures, depending on various factors, such as market conditions. See Note 5 to Comcast’s condensed consolidated financial statements for additional information on our financing activities, including details of our debt repayments and borrowings.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Borrowings Under Credit Facilities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 also maintain significant availability under our lines of credit and commercial paper programs to meet our short-term liquidity requirements.</w:t>
      </w:r>
    </w:p>
    <w:p>
      <w:pPr>
        <w:spacing w:after="0" w:line="17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As of June 30, 2018, amounts available under our consolidated revolving credit facilities, net of amounts outstanding under our commercial paper programs and outstanding letters of credit, totaled $7.5 billion, which included $573 million available under the NBCUniversal Enterprise revolving credit facility.</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 and Dividends</w:t>
      </w:r>
    </w:p>
    <w:p>
      <w:pPr>
        <w:spacing w:after="0" w:line="12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Effective January 1, 2017, our Board of Directors increased our share repurchase program authorization to $12 billion, which does not have an expiration date. Under the authorization, we may repurchase shares in the open market or in private transactions. During the six months ended June 30, 2018, we repurchased a total of 77 million shares of our Class A common stock for $2.75 billion. We expect to make at least $2.25 billion more in repurchases under this authorization during the remainder of 2018, although the actual repurchase amount may differ depending on market and other conditions.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75"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we paid $248 million for the six months ended June 30, 2018 related to employee taxes associated with the administration of our share-based compensation plans.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2018, our Board of Directors approved a 21% increase in our dividend to $0.76 per share on an annualized basis. In May 2018, our Board of Directors approved our second quarter dividend of $0.19 per share to be paid in July 2018. We expect to continue to pay quarterly dividends, although each dividend is subject to approval by our Board of Directors.</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Judgments and Estimates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our condensed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a more complete discussion of the accounting judgments and estimates that we have identified as critical in the preparation of our condensed consolidated financial statements, please refer to our Management’s Discussion and Analysis of Financial Condition and Results of Operations in our 2017 Annual Report on Form 10-K.</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7 to Comcast’s condensed consolidated financial statements and see Note 6 to NBCUniversal’s condensed consolidated financial statements for additional information related to recent accounting pronouncements.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evaluated the information required under this item that was disclosed in our 2017 Annual Report on Form 10-K and there have been no significant changes to this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Comcast Corporation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principal executive and principal financial officers, after evaluating the effectiveness of Comcast’s disclosure controls and procedures (as defined in Exchange Act Rules 13a-15(e) and 15d-15(e)) as of the end of the period covered by this report, have concluded that, based on the evaluation of these controls and procedures required by paragraph (b) of Exchange Act Rules 13a-15 or 15d-15, Comcast’s disclosure controls and procedures were effective.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changes in Comcast’s internal control over financial reporting identified in connection with the evaluation required by paragraph (d) of Exchange Act Rules 13a-15 or 15d-15 that occurred during Comcast’s last fiscal quarter that have materially affected, or are reasonably likely to materially affect, Comcast’s internal control over financial reporting.</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Media, LLC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principal executive and principal financial officers, after evaluating the effectiveness of NBCUniversal’s disclosure controls and procedures (as defined in Rules 13a-15(e) and 15d-15(e) of the Exchange Act) as of the end of the period covered by this report, have concluded that, based on the evaluation of these controls and procedures required by paragraph (b) of Exchange Act Rules 13a-15 or 15d-15, NBCUniversal’s disclosure controls and procedures were effective.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changes in NBCUniversal’s internal control over financial reporting identified in connection with the evaluation required by paragraph (d) of Exchange Act Rules 13a-15 or 15d-15 that occurred during NBCUniversal’s last fiscal quarter that have materially affected, or are reasonably likely to materially affect, NBCUniversal’s internal control over financial reporting.</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75"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11 to Comcast’s condensed consolidated financial statements included in this Quarterly Report on Form 10-Q for a discussion of legal proceedings.</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NBCUniversal is subject to legal proceedings and claims that arise in the ordinary course of its business and does not expect the final disposition of these matters to have a material adverse effect on its results of operations, cash flows or financial condition, although any such matters could be time-consuming and costly and could injure its reputation.</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from the risk factors previously disclosed in Item 1A of our 2017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Comcast’s common stock repurchases during the three months ended June 30, 2018.</w:t>
      </w:r>
    </w:p>
    <w:p>
      <w:pPr>
        <w:spacing w:after="0" w:line="163"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Purchases of Equity Securities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jc w:val="center"/>
              <w:ind w:right="81"/>
              <w:spacing w:after="0"/>
              <w:rPr>
                <w:sz w:val="20"/>
                <w:szCs w:val="20"/>
                <w:color w:val="auto"/>
              </w:rPr>
            </w:pPr>
            <w:r>
              <w:rPr>
                <w:rFonts w:ascii="Arial" w:cs="Arial" w:eastAsia="Arial" w:hAnsi="Arial"/>
                <w:sz w:val="14"/>
                <w:szCs w:val="14"/>
                <w:color w:val="auto"/>
                <w:w w:val="97"/>
              </w:rPr>
              <w:t>Total Dollar</w:t>
            </w:r>
          </w:p>
        </w:tc>
        <w:tc>
          <w:tcPr>
            <w:tcW w:w="240" w:type="dxa"/>
            <w:vAlign w:val="bottom"/>
          </w:tcPr>
          <w:p>
            <w:pPr>
              <w:spacing w:after="0"/>
              <w:rPr>
                <w:sz w:val="14"/>
                <w:szCs w:val="14"/>
                <w:color w:val="auto"/>
              </w:rPr>
            </w:pPr>
          </w:p>
        </w:tc>
        <w:tc>
          <w:tcPr>
            <w:tcW w:w="1580" w:type="dxa"/>
            <w:vAlign w:val="bottom"/>
          </w:tcPr>
          <w:p>
            <w:pPr>
              <w:jc w:val="center"/>
              <w:ind w:right="120"/>
              <w:spacing w:after="0"/>
              <w:rPr>
                <w:sz w:val="20"/>
                <w:szCs w:val="20"/>
                <w:color w:val="auto"/>
              </w:rPr>
            </w:pPr>
            <w:r>
              <w:rPr>
                <w:rFonts w:ascii="Arial" w:cs="Arial" w:eastAsia="Arial" w:hAnsi="Arial"/>
                <w:sz w:val="14"/>
                <w:szCs w:val="14"/>
                <w:color w:val="auto"/>
              </w:rPr>
              <w:t>Maximum Dollar</w:t>
            </w:r>
          </w:p>
        </w:tc>
      </w:tr>
      <w:tr>
        <w:trPr>
          <w:trHeight w:val="149"/>
        </w:trPr>
        <w:tc>
          <w:tcPr>
            <w:tcW w:w="20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center"/>
              <w:ind w:right="61"/>
              <w:spacing w:after="0" w:line="149" w:lineRule="exact"/>
              <w:rPr>
                <w:sz w:val="20"/>
                <w:szCs w:val="20"/>
                <w:color w:val="auto"/>
              </w:rPr>
            </w:pPr>
            <w:r>
              <w:rPr>
                <w:rFonts w:ascii="Arial" w:cs="Arial" w:eastAsia="Arial" w:hAnsi="Arial"/>
                <w:sz w:val="14"/>
                <w:szCs w:val="14"/>
                <w:color w:val="auto"/>
                <w:w w:val="99"/>
              </w:rPr>
              <w:t>Amount</w:t>
            </w:r>
          </w:p>
        </w:tc>
        <w:tc>
          <w:tcPr>
            <w:tcW w:w="240" w:type="dxa"/>
            <w:vAlign w:val="bottom"/>
          </w:tcPr>
          <w:p>
            <w:pPr>
              <w:spacing w:after="0"/>
              <w:rPr>
                <w:sz w:val="12"/>
                <w:szCs w:val="12"/>
                <w:color w:val="auto"/>
              </w:rPr>
            </w:pPr>
          </w:p>
        </w:tc>
        <w:tc>
          <w:tcPr>
            <w:tcW w:w="1580" w:type="dxa"/>
            <w:vAlign w:val="bottom"/>
          </w:tcPr>
          <w:p>
            <w:pPr>
              <w:jc w:val="center"/>
              <w:ind w:right="120"/>
              <w:spacing w:after="0" w:line="149" w:lineRule="exact"/>
              <w:rPr>
                <w:sz w:val="20"/>
                <w:szCs w:val="20"/>
                <w:color w:val="auto"/>
              </w:rPr>
            </w:pPr>
            <w:r>
              <w:rPr>
                <w:rFonts w:ascii="Arial" w:cs="Arial" w:eastAsia="Arial" w:hAnsi="Arial"/>
                <w:sz w:val="14"/>
                <w:szCs w:val="14"/>
                <w:color w:val="auto"/>
                <w:w w:val="92"/>
              </w:rPr>
              <w:t>Value of Shares That</w:t>
            </w:r>
          </w:p>
        </w:tc>
      </w:tr>
      <w:tr>
        <w:trPr>
          <w:trHeight w:val="149"/>
        </w:trPr>
        <w:tc>
          <w:tcPr>
            <w:tcW w:w="202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color w:val="auto"/>
                <w:w w:val="96"/>
              </w:rPr>
              <w:t>Total</w:t>
            </w:r>
          </w:p>
        </w:tc>
        <w:tc>
          <w:tcPr>
            <w:tcW w:w="440" w:type="dxa"/>
            <w:vAlign w:val="bottom"/>
          </w:tcPr>
          <w:p>
            <w:pPr>
              <w:spacing w:after="0"/>
              <w:rPr>
                <w:sz w:val="12"/>
                <w:szCs w:val="12"/>
                <w:color w:val="auto"/>
              </w:rPr>
            </w:pPr>
          </w:p>
        </w:tc>
        <w:tc>
          <w:tcPr>
            <w:tcW w:w="1060" w:type="dxa"/>
            <w:vAlign w:val="bottom"/>
          </w:tcPr>
          <w:p>
            <w:pPr>
              <w:jc w:val="center"/>
              <w:ind w:right="259"/>
              <w:spacing w:after="0" w:line="149" w:lineRule="exact"/>
              <w:rPr>
                <w:sz w:val="20"/>
                <w:szCs w:val="20"/>
                <w:color w:val="auto"/>
              </w:rPr>
            </w:pPr>
            <w:r>
              <w:rPr>
                <w:rFonts w:ascii="Arial" w:cs="Arial" w:eastAsia="Arial" w:hAnsi="Arial"/>
                <w:sz w:val="14"/>
                <w:szCs w:val="14"/>
                <w:color w:val="auto"/>
                <w:w w:val="91"/>
              </w:rPr>
              <w:t>Average</w:t>
            </w: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5"/>
              </w:rPr>
              <w:t>Total Number of</w:t>
            </w:r>
          </w:p>
        </w:tc>
        <w:tc>
          <w:tcPr>
            <w:tcW w:w="240" w:type="dxa"/>
            <w:vAlign w:val="bottom"/>
          </w:tcPr>
          <w:p>
            <w:pPr>
              <w:spacing w:after="0"/>
              <w:rPr>
                <w:sz w:val="12"/>
                <w:szCs w:val="12"/>
                <w:color w:val="auto"/>
              </w:rPr>
            </w:pPr>
          </w:p>
        </w:tc>
        <w:tc>
          <w:tcPr>
            <w:tcW w:w="1420" w:type="dxa"/>
            <w:vAlign w:val="bottom"/>
          </w:tcPr>
          <w:p>
            <w:pPr>
              <w:jc w:val="center"/>
              <w:ind w:right="61"/>
              <w:spacing w:after="0" w:line="149" w:lineRule="exact"/>
              <w:rPr>
                <w:sz w:val="20"/>
                <w:szCs w:val="20"/>
                <w:color w:val="auto"/>
              </w:rPr>
            </w:pPr>
            <w:r>
              <w:rPr>
                <w:rFonts w:ascii="Arial" w:cs="Arial" w:eastAsia="Arial" w:hAnsi="Arial"/>
                <w:sz w:val="14"/>
                <w:szCs w:val="14"/>
                <w:color w:val="auto"/>
                <w:w w:val="89"/>
              </w:rPr>
              <w:t>Purchased</w:t>
            </w:r>
          </w:p>
        </w:tc>
        <w:tc>
          <w:tcPr>
            <w:tcW w:w="240" w:type="dxa"/>
            <w:vAlign w:val="bottom"/>
          </w:tcPr>
          <w:p>
            <w:pPr>
              <w:spacing w:after="0"/>
              <w:rPr>
                <w:sz w:val="12"/>
                <w:szCs w:val="12"/>
                <w:color w:val="auto"/>
              </w:rPr>
            </w:pPr>
          </w:p>
        </w:tc>
        <w:tc>
          <w:tcPr>
            <w:tcW w:w="1580" w:type="dxa"/>
            <w:vAlign w:val="bottom"/>
          </w:tcPr>
          <w:p>
            <w:pPr>
              <w:jc w:val="center"/>
              <w:ind w:right="120"/>
              <w:spacing w:after="0" w:line="149" w:lineRule="exact"/>
              <w:rPr>
                <w:sz w:val="20"/>
                <w:szCs w:val="20"/>
                <w:color w:val="auto"/>
              </w:rPr>
            </w:pPr>
            <w:r>
              <w:rPr>
                <w:rFonts w:ascii="Arial" w:cs="Arial" w:eastAsia="Arial" w:hAnsi="Arial"/>
                <w:sz w:val="14"/>
                <w:szCs w:val="14"/>
                <w:color w:val="auto"/>
                <w:w w:val="96"/>
              </w:rPr>
              <w:t>May Yet Be</w:t>
            </w:r>
          </w:p>
        </w:tc>
      </w:tr>
      <w:tr>
        <w:trPr>
          <w:trHeight w:val="149"/>
        </w:trPr>
        <w:tc>
          <w:tcPr>
            <w:tcW w:w="202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color w:val="auto"/>
                <w:w w:val="94"/>
              </w:rPr>
              <w:t>Number of</w:t>
            </w:r>
          </w:p>
        </w:tc>
        <w:tc>
          <w:tcPr>
            <w:tcW w:w="440" w:type="dxa"/>
            <w:vAlign w:val="bottom"/>
          </w:tcPr>
          <w:p>
            <w:pPr>
              <w:spacing w:after="0"/>
              <w:rPr>
                <w:sz w:val="12"/>
                <w:szCs w:val="12"/>
                <w:color w:val="auto"/>
              </w:rPr>
            </w:pPr>
          </w:p>
        </w:tc>
        <w:tc>
          <w:tcPr>
            <w:tcW w:w="1060" w:type="dxa"/>
            <w:vAlign w:val="bottom"/>
          </w:tcPr>
          <w:p>
            <w:pPr>
              <w:jc w:val="center"/>
              <w:ind w:right="239"/>
              <w:spacing w:after="0" w:line="149" w:lineRule="exact"/>
              <w:rPr>
                <w:sz w:val="20"/>
                <w:szCs w:val="20"/>
                <w:color w:val="auto"/>
              </w:rPr>
            </w:pPr>
            <w:r>
              <w:rPr>
                <w:rFonts w:ascii="Arial" w:cs="Arial" w:eastAsia="Arial" w:hAnsi="Arial"/>
                <w:sz w:val="14"/>
                <w:szCs w:val="14"/>
                <w:color w:val="auto"/>
                <w:w w:val="93"/>
              </w:rPr>
              <w:t>Price</w:t>
            </w: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86"/>
              </w:rPr>
              <w:t>Shares Purchased</w:t>
            </w:r>
          </w:p>
        </w:tc>
        <w:tc>
          <w:tcPr>
            <w:tcW w:w="240" w:type="dxa"/>
            <w:vAlign w:val="bottom"/>
          </w:tcPr>
          <w:p>
            <w:pPr>
              <w:spacing w:after="0"/>
              <w:rPr>
                <w:sz w:val="12"/>
                <w:szCs w:val="12"/>
                <w:color w:val="auto"/>
              </w:rPr>
            </w:pPr>
          </w:p>
        </w:tc>
        <w:tc>
          <w:tcPr>
            <w:tcW w:w="1420" w:type="dxa"/>
            <w:vAlign w:val="bottom"/>
          </w:tcPr>
          <w:p>
            <w:pPr>
              <w:jc w:val="center"/>
              <w:ind w:right="61"/>
              <w:spacing w:after="0" w:line="149" w:lineRule="exact"/>
              <w:rPr>
                <w:sz w:val="20"/>
                <w:szCs w:val="20"/>
                <w:color w:val="auto"/>
              </w:rPr>
            </w:pPr>
            <w:r>
              <w:rPr>
                <w:rFonts w:ascii="Arial" w:cs="Arial" w:eastAsia="Arial" w:hAnsi="Arial"/>
                <w:sz w:val="14"/>
                <w:szCs w:val="14"/>
                <w:color w:val="auto"/>
                <w:w w:val="95"/>
              </w:rPr>
              <w:t>Under the Publicly</w:t>
            </w:r>
          </w:p>
        </w:tc>
        <w:tc>
          <w:tcPr>
            <w:tcW w:w="182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3"/>
              </w:rPr>
              <w:t>Purchased Under the Publicly</w:t>
            </w:r>
          </w:p>
        </w:tc>
      </w:tr>
      <w:tr>
        <w:trPr>
          <w:trHeight w:val="149"/>
        </w:trPr>
        <w:tc>
          <w:tcPr>
            <w:tcW w:w="202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color w:val="auto"/>
                <w:w w:val="85"/>
              </w:rPr>
              <w:t>Shares</w:t>
            </w:r>
          </w:p>
        </w:tc>
        <w:tc>
          <w:tcPr>
            <w:tcW w:w="440" w:type="dxa"/>
            <w:vAlign w:val="bottom"/>
          </w:tcPr>
          <w:p>
            <w:pPr>
              <w:spacing w:after="0"/>
              <w:rPr>
                <w:sz w:val="12"/>
                <w:szCs w:val="12"/>
                <w:color w:val="auto"/>
              </w:rPr>
            </w:pPr>
          </w:p>
        </w:tc>
        <w:tc>
          <w:tcPr>
            <w:tcW w:w="1060" w:type="dxa"/>
            <w:vAlign w:val="bottom"/>
          </w:tcPr>
          <w:p>
            <w:pPr>
              <w:jc w:val="center"/>
              <w:ind w:right="259"/>
              <w:spacing w:after="0" w:line="149" w:lineRule="exact"/>
              <w:rPr>
                <w:sz w:val="20"/>
                <w:szCs w:val="20"/>
                <w:color w:val="auto"/>
              </w:rPr>
            </w:pPr>
            <w:r>
              <w:rPr>
                <w:rFonts w:ascii="Arial" w:cs="Arial" w:eastAsia="Arial" w:hAnsi="Arial"/>
                <w:sz w:val="14"/>
                <w:szCs w:val="14"/>
                <w:color w:val="auto"/>
                <w:w w:val="91"/>
              </w:rPr>
              <w:t>Per</w:t>
            </w: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4"/>
              </w:rPr>
              <w:t>as Part of Publicly</w:t>
            </w:r>
          </w:p>
        </w:tc>
        <w:tc>
          <w:tcPr>
            <w:tcW w:w="240" w:type="dxa"/>
            <w:vAlign w:val="bottom"/>
          </w:tcPr>
          <w:p>
            <w:pPr>
              <w:spacing w:after="0"/>
              <w:rPr>
                <w:sz w:val="12"/>
                <w:szCs w:val="12"/>
                <w:color w:val="auto"/>
              </w:rPr>
            </w:pPr>
          </w:p>
        </w:tc>
        <w:tc>
          <w:tcPr>
            <w:tcW w:w="1420" w:type="dxa"/>
            <w:vAlign w:val="bottom"/>
          </w:tcPr>
          <w:p>
            <w:pPr>
              <w:jc w:val="center"/>
              <w:ind w:right="81"/>
              <w:spacing w:after="0" w:line="149" w:lineRule="exact"/>
              <w:rPr>
                <w:sz w:val="20"/>
                <w:szCs w:val="20"/>
                <w:color w:val="auto"/>
              </w:rPr>
            </w:pPr>
            <w:r>
              <w:rPr>
                <w:rFonts w:ascii="Arial" w:cs="Arial" w:eastAsia="Arial" w:hAnsi="Arial"/>
                <w:sz w:val="14"/>
                <w:szCs w:val="14"/>
                <w:color w:val="auto"/>
                <w:w w:val="93"/>
              </w:rPr>
              <w:t>Announced</w:t>
            </w:r>
          </w:p>
        </w:tc>
        <w:tc>
          <w:tcPr>
            <w:tcW w:w="240" w:type="dxa"/>
            <w:vAlign w:val="bottom"/>
          </w:tcPr>
          <w:p>
            <w:pPr>
              <w:spacing w:after="0"/>
              <w:rPr>
                <w:sz w:val="12"/>
                <w:szCs w:val="12"/>
                <w:color w:val="auto"/>
              </w:rPr>
            </w:pPr>
          </w:p>
        </w:tc>
        <w:tc>
          <w:tcPr>
            <w:tcW w:w="1580" w:type="dxa"/>
            <w:vAlign w:val="bottom"/>
          </w:tcPr>
          <w:p>
            <w:pPr>
              <w:jc w:val="center"/>
              <w:ind w:right="120"/>
              <w:spacing w:after="0" w:line="149" w:lineRule="exact"/>
              <w:rPr>
                <w:sz w:val="20"/>
                <w:szCs w:val="20"/>
                <w:color w:val="auto"/>
              </w:rPr>
            </w:pPr>
            <w:r>
              <w:rPr>
                <w:rFonts w:ascii="Arial" w:cs="Arial" w:eastAsia="Arial" w:hAnsi="Arial"/>
                <w:sz w:val="14"/>
                <w:szCs w:val="14"/>
                <w:color w:val="auto"/>
                <w:w w:val="93"/>
              </w:rPr>
              <w:t>Announced</w:t>
            </w:r>
          </w:p>
        </w:tc>
      </w:tr>
      <w:tr>
        <w:trPr>
          <w:trHeight w:val="188"/>
        </w:trPr>
        <w:tc>
          <w:tcPr>
            <w:tcW w:w="2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Period</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Purchased</w:t>
            </w: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59"/>
              <w:spacing w:after="0"/>
              <w:rPr>
                <w:sz w:val="20"/>
                <w:szCs w:val="20"/>
                <w:color w:val="auto"/>
              </w:rPr>
            </w:pPr>
            <w:r>
              <w:rPr>
                <w:rFonts w:ascii="Arial" w:cs="Arial" w:eastAsia="Arial" w:hAnsi="Arial"/>
                <w:sz w:val="14"/>
                <w:szCs w:val="14"/>
                <w:color w:val="auto"/>
                <w:w w:val="85"/>
              </w:rPr>
              <w:t>Share</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Announced Authorization</w:t>
            </w: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color w:val="auto"/>
                <w:w w:val="97"/>
              </w:rPr>
              <w:t>Authorization</w:t>
            </w: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color w:val="auto"/>
                <w:w w:val="98"/>
              </w:rPr>
              <w:t>Authorization</w:t>
            </w:r>
            <w:r>
              <w:rPr>
                <w:rFonts w:ascii="Arial" w:cs="Arial" w:eastAsia="Arial" w:hAnsi="Arial"/>
                <w:sz w:val="8"/>
                <w:szCs w:val="8"/>
                <w:color w:val="auto"/>
                <w:w w:val="98"/>
              </w:rPr>
              <w:t>(a)</w:t>
            </w:r>
          </w:p>
        </w:tc>
      </w:tr>
      <w:tr>
        <w:trPr>
          <w:trHeight w:val="243"/>
        </w:trPr>
        <w:tc>
          <w:tcPr>
            <w:tcW w:w="2020" w:type="dxa"/>
            <w:vAlign w:val="bottom"/>
          </w:tcPr>
          <w:p>
            <w:pPr>
              <w:ind w:left="40"/>
              <w:spacing w:after="0"/>
              <w:rPr>
                <w:sz w:val="20"/>
                <w:szCs w:val="20"/>
                <w:color w:val="auto"/>
              </w:rPr>
            </w:pPr>
            <w:r>
              <w:rPr>
                <w:rFonts w:ascii="Arial" w:cs="Arial" w:eastAsia="Arial" w:hAnsi="Arial"/>
                <w:sz w:val="18"/>
                <w:szCs w:val="18"/>
                <w:color w:val="auto"/>
              </w:rPr>
              <w:t>April 1-30, 2018</w:t>
            </w:r>
          </w:p>
        </w:tc>
        <w:tc>
          <w:tcPr>
            <w:tcW w:w="2100" w:type="dxa"/>
            <w:vAlign w:val="bottom"/>
          </w:tcPr>
          <w:p>
            <w:pPr>
              <w:jc w:val="right"/>
              <w:ind w:right="159"/>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9"/>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0"/>
              <w:spacing w:after="0"/>
              <w:rPr>
                <w:sz w:val="20"/>
                <w:szCs w:val="20"/>
                <w:color w:val="auto"/>
              </w:rPr>
            </w:pPr>
            <w:r>
              <w:rPr>
                <w:rFonts w:ascii="Arial" w:cs="Arial" w:eastAsia="Arial" w:hAnsi="Arial"/>
                <w:sz w:val="18"/>
                <w:szCs w:val="18"/>
                <w:color w:val="auto"/>
              </w:rPr>
              <w:t>5,500,000,013</w:t>
            </w:r>
          </w:p>
        </w:tc>
      </w:tr>
      <w:tr>
        <w:trPr>
          <w:trHeight w:val="270"/>
        </w:trPr>
        <w:tc>
          <w:tcPr>
            <w:tcW w:w="2020" w:type="dxa"/>
            <w:vAlign w:val="bottom"/>
          </w:tcPr>
          <w:p>
            <w:pPr>
              <w:ind w:left="40"/>
              <w:spacing w:after="0"/>
              <w:rPr>
                <w:sz w:val="20"/>
                <w:szCs w:val="20"/>
                <w:color w:val="auto"/>
              </w:rPr>
            </w:pPr>
            <w:r>
              <w:rPr>
                <w:rFonts w:ascii="Arial" w:cs="Arial" w:eastAsia="Arial" w:hAnsi="Arial"/>
                <w:sz w:val="18"/>
                <w:szCs w:val="18"/>
                <w:color w:val="auto"/>
              </w:rPr>
              <w:t>May 1-31, 2018</w:t>
            </w:r>
          </w:p>
        </w:tc>
        <w:tc>
          <w:tcPr>
            <w:tcW w:w="2100" w:type="dxa"/>
            <w:vAlign w:val="bottom"/>
          </w:tcPr>
          <w:p>
            <w:pPr>
              <w:jc w:val="right"/>
              <w:ind w:right="159"/>
              <w:spacing w:after="0"/>
              <w:rPr>
                <w:sz w:val="20"/>
                <w:szCs w:val="20"/>
                <w:color w:val="auto"/>
              </w:rPr>
            </w:pPr>
            <w:r>
              <w:rPr>
                <w:rFonts w:ascii="Arial" w:cs="Arial" w:eastAsia="Arial" w:hAnsi="Arial"/>
                <w:sz w:val="18"/>
                <w:szCs w:val="18"/>
                <w:color w:val="auto"/>
              </w:rPr>
              <w:t>18,821,251</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9"/>
              <w:spacing w:after="0"/>
              <w:rPr>
                <w:sz w:val="20"/>
                <w:szCs w:val="20"/>
                <w:color w:val="auto"/>
              </w:rPr>
            </w:pPr>
            <w:r>
              <w:rPr>
                <w:rFonts w:ascii="Arial" w:cs="Arial" w:eastAsia="Arial" w:hAnsi="Arial"/>
                <w:sz w:val="18"/>
                <w:szCs w:val="18"/>
                <w:color w:val="auto"/>
              </w:rPr>
              <w:t>33.21</w:t>
            </w:r>
          </w:p>
        </w:tc>
        <w:tc>
          <w:tcPr>
            <w:tcW w:w="1960" w:type="dxa"/>
            <w:vAlign w:val="bottom"/>
          </w:tcPr>
          <w:p>
            <w:pPr>
              <w:jc w:val="right"/>
              <w:spacing w:after="0"/>
              <w:rPr>
                <w:sz w:val="20"/>
                <w:szCs w:val="20"/>
                <w:color w:val="auto"/>
              </w:rPr>
            </w:pPr>
            <w:r>
              <w:rPr>
                <w:rFonts w:ascii="Arial" w:cs="Arial" w:eastAsia="Arial" w:hAnsi="Arial"/>
                <w:sz w:val="18"/>
                <w:szCs w:val="18"/>
                <w:color w:val="auto"/>
              </w:rPr>
              <w:t>18,821,251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625,000,000</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0"/>
              <w:spacing w:after="0"/>
              <w:rPr>
                <w:sz w:val="20"/>
                <w:szCs w:val="20"/>
                <w:color w:val="auto"/>
              </w:rPr>
            </w:pPr>
            <w:r>
              <w:rPr>
                <w:rFonts w:ascii="Arial" w:cs="Arial" w:eastAsia="Arial" w:hAnsi="Arial"/>
                <w:sz w:val="18"/>
                <w:szCs w:val="18"/>
                <w:color w:val="auto"/>
              </w:rPr>
              <w:t>4,875,000,013</w:t>
            </w:r>
          </w:p>
        </w:tc>
      </w:tr>
      <w:tr>
        <w:trPr>
          <w:trHeight w:val="270"/>
        </w:trPr>
        <w:tc>
          <w:tcPr>
            <w:tcW w:w="2020" w:type="dxa"/>
            <w:vAlign w:val="bottom"/>
          </w:tcPr>
          <w:p>
            <w:pPr>
              <w:ind w:left="40"/>
              <w:spacing w:after="0"/>
              <w:rPr>
                <w:sz w:val="20"/>
                <w:szCs w:val="20"/>
                <w:color w:val="auto"/>
              </w:rPr>
            </w:pPr>
            <w:r>
              <w:rPr>
                <w:rFonts w:ascii="Arial" w:cs="Arial" w:eastAsia="Arial" w:hAnsi="Arial"/>
                <w:sz w:val="18"/>
                <w:szCs w:val="18"/>
                <w:color w:val="auto"/>
              </w:rPr>
              <w:t>June 1-30, 2018</w:t>
            </w:r>
          </w:p>
        </w:tc>
        <w:tc>
          <w:tcPr>
            <w:tcW w:w="2100" w:type="dxa"/>
            <w:vAlign w:val="bottom"/>
          </w:tcPr>
          <w:p>
            <w:pPr>
              <w:jc w:val="right"/>
              <w:ind w:right="159"/>
              <w:spacing w:after="0"/>
              <w:rPr>
                <w:sz w:val="20"/>
                <w:szCs w:val="20"/>
                <w:color w:val="auto"/>
              </w:rPr>
            </w:pPr>
            <w:r>
              <w:rPr>
                <w:rFonts w:ascii="Arial" w:cs="Arial" w:eastAsia="Arial" w:hAnsi="Arial"/>
                <w:sz w:val="18"/>
                <w:szCs w:val="18"/>
                <w:color w:val="auto"/>
              </w:rPr>
              <w:t>19,494,692</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9"/>
              <w:spacing w:after="0"/>
              <w:rPr>
                <w:sz w:val="20"/>
                <w:szCs w:val="20"/>
                <w:color w:val="auto"/>
              </w:rPr>
            </w:pPr>
            <w:r>
              <w:rPr>
                <w:rFonts w:ascii="Arial" w:cs="Arial" w:eastAsia="Arial" w:hAnsi="Arial"/>
                <w:sz w:val="18"/>
                <w:szCs w:val="18"/>
                <w:color w:val="auto"/>
              </w:rPr>
              <w:t>32.06</w:t>
            </w:r>
          </w:p>
        </w:tc>
        <w:tc>
          <w:tcPr>
            <w:tcW w:w="1960" w:type="dxa"/>
            <w:vAlign w:val="bottom"/>
          </w:tcPr>
          <w:p>
            <w:pPr>
              <w:jc w:val="right"/>
              <w:spacing w:after="0"/>
              <w:rPr>
                <w:sz w:val="20"/>
                <w:szCs w:val="20"/>
                <w:color w:val="auto"/>
              </w:rPr>
            </w:pPr>
            <w:r>
              <w:rPr>
                <w:rFonts w:ascii="Arial" w:cs="Arial" w:eastAsia="Arial" w:hAnsi="Arial"/>
                <w:sz w:val="18"/>
                <w:szCs w:val="18"/>
                <w:color w:val="auto"/>
              </w:rPr>
              <w:t>19,494,692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625,000,000</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0"/>
              <w:spacing w:after="0"/>
              <w:rPr>
                <w:sz w:val="20"/>
                <w:szCs w:val="20"/>
                <w:color w:val="auto"/>
              </w:rPr>
            </w:pPr>
            <w:r>
              <w:rPr>
                <w:rFonts w:ascii="Arial" w:cs="Arial" w:eastAsia="Arial" w:hAnsi="Arial"/>
                <w:sz w:val="18"/>
                <w:szCs w:val="18"/>
                <w:color w:val="auto"/>
              </w:rPr>
              <w:t>4,250,000,013</w:t>
            </w:r>
          </w:p>
        </w:tc>
      </w:tr>
      <w:tr>
        <w:trPr>
          <w:trHeight w:val="27"/>
        </w:trPr>
        <w:tc>
          <w:tcPr>
            <w:tcW w:w="20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202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100" w:type="dxa"/>
            <w:vAlign w:val="bottom"/>
          </w:tcPr>
          <w:p>
            <w:pPr>
              <w:jc w:val="right"/>
              <w:ind w:right="159"/>
              <w:spacing w:after="0"/>
              <w:rPr>
                <w:sz w:val="20"/>
                <w:szCs w:val="20"/>
                <w:color w:val="auto"/>
              </w:rPr>
            </w:pPr>
            <w:r>
              <w:rPr>
                <w:rFonts w:ascii="Arial" w:cs="Arial" w:eastAsia="Arial" w:hAnsi="Arial"/>
                <w:sz w:val="18"/>
                <w:szCs w:val="18"/>
                <w:b w:val="1"/>
                <w:bCs w:val="1"/>
                <w:color w:val="auto"/>
              </w:rPr>
              <w:t>38,315,943</w:t>
            </w: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19"/>
              <w:spacing w:after="0"/>
              <w:rPr>
                <w:sz w:val="20"/>
                <w:szCs w:val="20"/>
                <w:color w:val="auto"/>
              </w:rPr>
            </w:pPr>
            <w:r>
              <w:rPr>
                <w:rFonts w:ascii="Arial" w:cs="Arial" w:eastAsia="Arial" w:hAnsi="Arial"/>
                <w:sz w:val="18"/>
                <w:szCs w:val="18"/>
                <w:b w:val="1"/>
                <w:bCs w:val="1"/>
                <w:color w:val="auto"/>
              </w:rPr>
              <w:t>32.62</w:t>
            </w: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38,315,943</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1,250,000,000</w:t>
            </w:r>
          </w:p>
        </w:tc>
        <w:tc>
          <w:tcPr>
            <w:tcW w:w="24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1580" w:type="dxa"/>
            <w:vAlign w:val="bottom"/>
          </w:tcPr>
          <w:p>
            <w:pPr>
              <w:jc w:val="right"/>
              <w:ind w:right="40"/>
              <w:spacing w:after="0"/>
              <w:rPr>
                <w:sz w:val="20"/>
                <w:szCs w:val="20"/>
                <w:color w:val="auto"/>
              </w:rPr>
            </w:pPr>
            <w:r>
              <w:rPr>
                <w:rFonts w:ascii="Arial" w:cs="Arial" w:eastAsia="Arial" w:hAnsi="Arial"/>
                <w:sz w:val="18"/>
                <w:szCs w:val="18"/>
                <w:b w:val="1"/>
                <w:bCs w:val="1"/>
                <w:color w:val="auto"/>
              </w:rPr>
              <w:t>4,250,000,013</w:t>
            </w:r>
          </w:p>
        </w:tc>
      </w:tr>
      <w:tr>
        <w:trPr>
          <w:trHeight w:val="34"/>
        </w:trPr>
        <w:tc>
          <w:tcPr>
            <w:tcW w:w="20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ind w:left="340" w:right="20" w:hanging="332"/>
        <w:spacing w:after="0" w:line="273"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Effective January 1, 2017, our Board of Directors increased our share repurchase program authorization to $12 billion, which does not have an expiration date. Under this authorization, we may repurchase shares in the open market or in private transactions.</w:t>
      </w:r>
    </w:p>
    <w:p>
      <w:pPr>
        <w:spacing w:after="0" w:line="124"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The total number of shares purchased during the three months ended June 30, 2018 does not include any shares received in the administration of employee share-based compensation plans.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OTHER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Iran Threat Reduction and Syria Human Rights Act Disclosure</w:t>
      </w:r>
    </w:p>
    <w:p>
      <w:pPr>
        <w:spacing w:after="0" w:line="18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Pursuant to Section 219 of the Iran Threat Reduction and Syria Human Rights Act of 2012, companies are required, among other things, to disclose certain activities, transactions or dealings with the Government of Iran or entities controlled directly or indirectly by the Government of Iran. Disclosure is generally required even where the activities, transactions or dealings are conducted in compliance with applicable laws and regulations and are de minimis. As of the date of this report, we are not aware of any activity, transaction or dealing during the three months ended June 30, 2018 that requires disclosure under the Act, except with respect to a January 2016 licensing agreement by a non-U.S. subsidiary of DreamWorks Animation prior to our August 2016 DreamWorks Animation acquisition. The agreement licensed a prior season of a children’s animated television series for a three-year, non-cancelable term and for a one-time fee of $5,200 to a broadcasting company that is owned and controlled by the Government of Iran. The broadcasting company paid the license fee in the first quarter of 2016. We believe that DreamWorks Animation conducted its licensing activity in compliance with applicable laws and that the license is for the permissible exportation of informational materials pursuant to certain statutory and regulatory exemptions from U.S. sanctions.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75"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Exhibit</w:t>
      </w:r>
    </w:p>
    <w:p>
      <w:pPr>
        <w:ind w:left="280"/>
        <w:spacing w:after="0"/>
        <w:tabs>
          <w:tab w:leader="none" w:pos="90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9037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27" w:lineRule="exact"/>
        <w:rPr>
          <w:sz w:val="20"/>
          <w:szCs w:val="20"/>
          <w:color w:val="auto"/>
        </w:rPr>
      </w:pPr>
    </w:p>
    <w:p>
      <w:pPr>
        <w:jc w:val="both"/>
        <w:ind w:left="920" w:hanging="676"/>
        <w:spacing w:after="0" w:line="259" w:lineRule="auto"/>
        <w:tabs>
          <w:tab w:leader="none" w:pos="900" w:val="left"/>
        </w:tabs>
        <w:rPr>
          <w:rFonts w:ascii="Arial" w:cs="Arial" w:eastAsia="Arial" w:hAnsi="Arial"/>
          <w:sz w:val="18"/>
          <w:szCs w:val="18"/>
          <w:color w:val="0000FF"/>
        </w:rPr>
      </w:pPr>
      <w:hyperlink r:id="rId20">
        <w:r>
          <w:rPr>
            <w:rFonts w:ascii="Arial" w:cs="Arial" w:eastAsia="Arial" w:hAnsi="Arial"/>
            <w:sz w:val="18"/>
            <w:szCs w:val="18"/>
            <w:u w:val="single" w:color="auto"/>
            <w:color w:val="0000FF"/>
          </w:rPr>
          <w:t>10.1</w:t>
        </w:r>
      </w:hyperlink>
      <w:r>
        <w:rPr>
          <w:rFonts w:ascii="Arial" w:cs="Arial" w:eastAsia="Arial" w:hAnsi="Arial"/>
          <w:sz w:val="18"/>
          <w:szCs w:val="18"/>
          <w:color w:val="0000FF"/>
        </w:rPr>
        <w:tab/>
        <w:t>Term Loan Credit Agreement among Comcast, the financial institutions party thereto, Bank of America, N.A., as administrative agent, Wells Fargo Bank, National Association, as syndication agent, and Merrill Lynch, Pierce, Fenner &amp; Smith Incorporated and Wells Fargo Securities LLC, as joint lead arrangers and joint bookrunners, dated April 25, 2018 (incorporated by reference to Exhibit 10.1 to Comcast’s Current Report on Form 8-K filed on April 25, 2018).</w:t>
      </w:r>
    </w:p>
    <w:p>
      <w:pPr>
        <w:spacing w:after="0" w:line="25" w:lineRule="exact"/>
        <w:rPr>
          <w:sz w:val="20"/>
          <w:szCs w:val="20"/>
          <w:color w:val="auto"/>
        </w:rPr>
      </w:pPr>
    </w:p>
    <w:p>
      <w:pPr>
        <w:jc w:val="both"/>
        <w:ind w:left="920" w:right="20" w:hanging="676"/>
        <w:spacing w:after="0" w:line="259" w:lineRule="auto"/>
        <w:tabs>
          <w:tab w:leader="none" w:pos="900" w:val="left"/>
        </w:tabs>
        <w:rPr>
          <w:rFonts w:ascii="Arial" w:cs="Arial" w:eastAsia="Arial" w:hAnsi="Arial"/>
          <w:sz w:val="18"/>
          <w:szCs w:val="18"/>
          <w:color w:val="0000FF"/>
        </w:rPr>
      </w:pPr>
      <w:hyperlink r:id="rId21">
        <w:r>
          <w:rPr>
            <w:rFonts w:ascii="Arial" w:cs="Arial" w:eastAsia="Arial" w:hAnsi="Arial"/>
            <w:sz w:val="18"/>
            <w:szCs w:val="18"/>
            <w:u w:val="single" w:color="auto"/>
            <w:color w:val="0000FF"/>
          </w:rPr>
          <w:t>10.2</w:t>
        </w:r>
      </w:hyperlink>
      <w:r>
        <w:rPr>
          <w:rFonts w:ascii="Arial" w:cs="Arial" w:eastAsia="Arial" w:hAnsi="Arial"/>
          <w:sz w:val="18"/>
          <w:szCs w:val="18"/>
          <w:color w:val="0000FF"/>
        </w:rPr>
        <w:tab/>
        <w:t>364-day Bridge Loan Credit Agreement among Comcast, the financial institutions party thereto, Bank of America, N.A., as administrative agent, Wells Fargo Bank, National Association, as syndication agent, and Merrill Lynch, Pierce, Fenner &amp; Smith Incorporated and Wells Fargo Securities LLC as joint lead arrangers and joint bookrunners, dated April 25, 2018 (incorporated by reference to Exhibit 10.2 to Comcast’s Current Report on Form 8-K filed on April 25, 2018).</w:t>
      </w:r>
    </w:p>
    <w:p>
      <w:pPr>
        <w:spacing w:after="0" w:line="25" w:lineRule="exact"/>
        <w:rPr>
          <w:sz w:val="20"/>
          <w:szCs w:val="20"/>
          <w:color w:val="auto"/>
        </w:rPr>
      </w:pPr>
    </w:p>
    <w:p>
      <w:pPr>
        <w:ind w:left="920" w:right="320" w:hanging="676"/>
        <w:spacing w:after="0" w:line="279" w:lineRule="auto"/>
        <w:tabs>
          <w:tab w:leader="none" w:pos="900" w:val="left"/>
        </w:tabs>
        <w:rPr>
          <w:rFonts w:ascii="Arial" w:cs="Arial" w:eastAsia="Arial" w:hAnsi="Arial"/>
          <w:sz w:val="18"/>
          <w:szCs w:val="18"/>
          <w:color w:val="0000FF"/>
        </w:rPr>
      </w:pPr>
      <w:hyperlink r:id="rId22">
        <w:r>
          <w:rPr>
            <w:rFonts w:ascii="Arial" w:cs="Arial" w:eastAsia="Arial" w:hAnsi="Arial"/>
            <w:sz w:val="18"/>
            <w:szCs w:val="18"/>
            <w:u w:val="single" w:color="auto"/>
            <w:color w:val="0000FF"/>
          </w:rPr>
          <w:t>10.3</w:t>
        </w:r>
      </w:hyperlink>
      <w:r>
        <w:rPr>
          <w:rFonts w:ascii="Arial" w:cs="Arial" w:eastAsia="Arial" w:hAnsi="Arial"/>
          <w:sz w:val="18"/>
          <w:szCs w:val="18"/>
          <w:color w:val="0000FF"/>
        </w:rPr>
        <w:tab/>
      </w:r>
      <w:r>
        <w:rPr>
          <w:rFonts w:ascii="Arial" w:cs="Arial" w:eastAsia="Arial" w:hAnsi="Arial"/>
          <w:sz w:val="17"/>
          <w:szCs w:val="17"/>
          <w:color w:val="0000FF"/>
        </w:rPr>
        <w:t>Amendment No. 1 dated April 27, 2018, to Credit Agreement dated as of May 26, 2016, among Comcast Corporation, the financial institutions party thereto, JPMorgan Chase Bank, N.A., as administrative agent, Citibank, N.A., as syndication agent, Morgan Stanley MUFG Partners, LLC, Wells Fargo Bank, National Association and Mizuho Bank, Ltd., as co-documentation agents (incorporated by reference to Exhibit 10.1 to Comcast’s Current Report on Form 8-K filed on April 30, 2018).</w:t>
      </w:r>
    </w:p>
    <w:p>
      <w:pPr>
        <w:spacing w:after="0" w:line="9" w:lineRule="exact"/>
        <w:rPr>
          <w:sz w:val="20"/>
          <w:szCs w:val="20"/>
          <w:color w:val="auto"/>
        </w:rPr>
      </w:pPr>
    </w:p>
    <w:p>
      <w:pPr>
        <w:ind w:left="200"/>
        <w:spacing w:after="0"/>
        <w:tabs>
          <w:tab w:leader="none" w:pos="900" w:val="left"/>
        </w:tabs>
        <w:rPr>
          <w:rFonts w:ascii="Arial" w:cs="Arial" w:eastAsia="Arial" w:hAnsi="Arial"/>
          <w:sz w:val="18"/>
          <w:szCs w:val="18"/>
          <w:color w:val="0000FF"/>
        </w:rPr>
      </w:pPr>
      <w:hyperlink w:anchor="page69">
        <w:r>
          <w:rPr>
            <w:rFonts w:ascii="Arial" w:cs="Arial" w:eastAsia="Arial" w:hAnsi="Arial"/>
            <w:sz w:val="18"/>
            <w:szCs w:val="18"/>
            <w:u w:val="single" w:color="auto"/>
            <w:color w:val="0000FF"/>
          </w:rPr>
          <w:t>10.4*</w:t>
        </w:r>
      </w:hyperlink>
      <w:r>
        <w:rPr>
          <w:rFonts w:ascii="Arial" w:cs="Arial" w:eastAsia="Arial" w:hAnsi="Arial"/>
          <w:sz w:val="18"/>
          <w:szCs w:val="18"/>
          <w:color w:val="0000FF"/>
        </w:rPr>
        <w:tab/>
      </w:r>
      <w:r>
        <w:rPr>
          <w:rFonts w:ascii="Arial" w:cs="Arial" w:eastAsia="Arial" w:hAnsi="Arial"/>
          <w:sz w:val="16"/>
          <w:szCs w:val="16"/>
          <w:color w:val="0000FF"/>
        </w:rPr>
        <w:t>Employment Agreement between Comcast Corporation and David N. Watson, dated as of April 2, 2018.</w:t>
      </w:r>
    </w:p>
    <w:p>
      <w:pPr>
        <w:spacing w:after="0" w:line="63" w:lineRule="exact"/>
        <w:rPr>
          <w:sz w:val="20"/>
          <w:szCs w:val="20"/>
          <w:color w:val="auto"/>
        </w:rPr>
      </w:pPr>
    </w:p>
    <w:p>
      <w:pPr>
        <w:ind w:left="920" w:hanging="721"/>
        <w:spacing w:after="0" w:line="277" w:lineRule="auto"/>
        <w:tabs>
          <w:tab w:leader="none" w:pos="900" w:val="left"/>
        </w:tabs>
        <w:rPr>
          <w:rFonts w:ascii="Arial" w:cs="Arial" w:eastAsia="Arial" w:hAnsi="Arial"/>
          <w:sz w:val="18"/>
          <w:szCs w:val="18"/>
          <w:color w:val="0000FF"/>
        </w:rPr>
      </w:pPr>
      <w:hyperlink w:anchor="page84">
        <w:r>
          <w:rPr>
            <w:rFonts w:ascii="Arial" w:cs="Arial" w:eastAsia="Arial" w:hAnsi="Arial"/>
            <w:sz w:val="18"/>
            <w:szCs w:val="18"/>
            <w:u w:val="single" w:color="auto"/>
            <w:color w:val="0000FF"/>
          </w:rPr>
          <w:t>10.5*</w:t>
        </w:r>
      </w:hyperlink>
      <w:r>
        <w:rPr>
          <w:rFonts w:ascii="Arial" w:cs="Arial" w:eastAsia="Arial" w:hAnsi="Arial"/>
          <w:sz w:val="18"/>
          <w:szCs w:val="18"/>
          <w:color w:val="0000FF"/>
        </w:rPr>
        <w:tab/>
        <w:t>Form of Restricted Stock Unit Award and Long-Term Incentive Awards Summary Schedule under the Comcast Corporation 2002 Restricted Stock Plan</w:t>
      </w:r>
    </w:p>
    <w:p>
      <w:pPr>
        <w:spacing w:after="0" w:line="8" w:lineRule="exact"/>
        <w:rPr>
          <w:sz w:val="20"/>
          <w:szCs w:val="20"/>
          <w:color w:val="auto"/>
        </w:rPr>
      </w:pPr>
    </w:p>
    <w:p>
      <w:pPr>
        <w:ind w:left="240"/>
        <w:spacing w:after="0"/>
        <w:tabs>
          <w:tab w:leader="none" w:pos="900" w:val="left"/>
        </w:tabs>
        <w:rPr>
          <w:rFonts w:ascii="Arial" w:cs="Arial" w:eastAsia="Arial" w:hAnsi="Arial"/>
          <w:sz w:val="18"/>
          <w:szCs w:val="18"/>
          <w:color w:val="0000FF"/>
        </w:rPr>
      </w:pPr>
      <w:hyperlink w:anchor="page88">
        <w:r>
          <w:rPr>
            <w:rFonts w:ascii="Arial" w:cs="Arial" w:eastAsia="Arial" w:hAnsi="Arial"/>
            <w:sz w:val="18"/>
            <w:szCs w:val="18"/>
            <w:u w:val="single" w:color="auto"/>
            <w:color w:val="0000FF"/>
          </w:rPr>
          <w:t>31.1</w:t>
        </w:r>
      </w:hyperlink>
      <w:r>
        <w:rPr>
          <w:rFonts w:ascii="Arial" w:cs="Arial" w:eastAsia="Arial" w:hAnsi="Arial"/>
          <w:sz w:val="18"/>
          <w:szCs w:val="18"/>
          <w:color w:val="0000FF"/>
        </w:rPr>
        <w:tab/>
      </w:r>
      <w:r>
        <w:rPr>
          <w:rFonts w:ascii="Arial" w:cs="Arial" w:eastAsia="Arial" w:hAnsi="Arial"/>
          <w:sz w:val="16"/>
          <w:szCs w:val="16"/>
          <w:color w:val="0000FF"/>
        </w:rPr>
        <w:t>Certification of Chief Executive Officer and Chief Financial Officer pursuant to Section 302 of the Sarbanes-Oxley Act of 2002.</w:t>
      </w:r>
    </w:p>
    <w:p>
      <w:pPr>
        <w:spacing w:after="0" w:line="63" w:lineRule="exact"/>
        <w:rPr>
          <w:sz w:val="20"/>
          <w:szCs w:val="20"/>
          <w:color w:val="auto"/>
        </w:rPr>
      </w:pPr>
    </w:p>
    <w:p>
      <w:pPr>
        <w:ind w:left="240"/>
        <w:spacing w:after="0"/>
        <w:tabs>
          <w:tab w:leader="none" w:pos="900" w:val="left"/>
        </w:tabs>
        <w:rPr>
          <w:rFonts w:ascii="Arial" w:cs="Arial" w:eastAsia="Arial" w:hAnsi="Arial"/>
          <w:sz w:val="18"/>
          <w:szCs w:val="18"/>
          <w:color w:val="0000FF"/>
        </w:rPr>
      </w:pPr>
      <w:hyperlink w:anchor="page92">
        <w:r>
          <w:rPr>
            <w:rFonts w:ascii="Arial" w:cs="Arial" w:eastAsia="Arial" w:hAnsi="Arial"/>
            <w:sz w:val="18"/>
            <w:szCs w:val="18"/>
            <w:u w:val="single" w:color="auto"/>
            <w:color w:val="0000FF"/>
          </w:rPr>
          <w:t>32.1</w:t>
        </w:r>
      </w:hyperlink>
      <w:r>
        <w:rPr>
          <w:rFonts w:ascii="Arial" w:cs="Arial" w:eastAsia="Arial" w:hAnsi="Arial"/>
          <w:sz w:val="18"/>
          <w:szCs w:val="18"/>
          <w:color w:val="0000FF"/>
        </w:rPr>
        <w:tab/>
      </w:r>
      <w:r>
        <w:rPr>
          <w:rFonts w:ascii="Arial" w:cs="Arial" w:eastAsia="Arial" w:hAnsi="Arial"/>
          <w:sz w:val="16"/>
          <w:szCs w:val="16"/>
          <w:color w:val="0000FF"/>
        </w:rPr>
        <w:t>Certification of Chief Executive Officer and Chief Financial Officer pursuant to Section 906 of the Sarbanes-Oxley Act of 2002.</w:t>
      </w:r>
    </w:p>
    <w:p>
      <w:pPr>
        <w:spacing w:after="0" w:line="63" w:lineRule="exact"/>
        <w:rPr>
          <w:sz w:val="20"/>
          <w:szCs w:val="20"/>
          <w:color w:val="auto"/>
        </w:rPr>
      </w:pPr>
    </w:p>
    <w:p>
      <w:pPr>
        <w:jc w:val="both"/>
        <w:ind w:left="920" w:right="20" w:hanging="662"/>
        <w:spacing w:after="0" w:line="288" w:lineRule="auto"/>
        <w:tabs>
          <w:tab w:leader="none" w:pos="9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following financial statements from Comcast Corporation’s Quarterly Report on Form 10-Q for the three and six months ended June 30, 2018, filed with the Securities and Exchange Commission on July 26, 2018, formatted in XBRL (eXtensible Business Reporting Language): (i) the Condensed Consolidated Statement of Income; (ii) the Condensed Consolidated Statement of Comprehensive Income;</w:t>
      </w:r>
    </w:p>
    <w:p>
      <w:pPr>
        <w:ind w:left="920" w:hanging="7"/>
        <w:spacing w:after="0" w:line="290" w:lineRule="auto"/>
        <w:tabs>
          <w:tab w:leader="none" w:pos="1283" w:val="left"/>
        </w:tabs>
        <w:numPr>
          <w:ilvl w:val="2"/>
          <w:numId w:val="13"/>
        </w:numPr>
        <w:rPr>
          <w:rFonts w:ascii="Arial" w:cs="Arial" w:eastAsia="Arial" w:hAnsi="Arial"/>
          <w:sz w:val="17"/>
          <w:szCs w:val="17"/>
          <w:color w:val="auto"/>
        </w:rPr>
      </w:pPr>
      <w:r>
        <w:rPr>
          <w:rFonts w:ascii="Arial" w:cs="Arial" w:eastAsia="Arial" w:hAnsi="Arial"/>
          <w:sz w:val="17"/>
          <w:szCs w:val="17"/>
          <w:color w:val="auto"/>
        </w:rPr>
        <w:t>the Condensed Consolidated Statement of Cash Flows; (iv) the Condensed Consolidated Balance Sheet; (v) the Condensed Consolidated Statement of Changes in Equity; and (vi) the Notes to Condensed Consolidated Financial Statements.</w:t>
      </w:r>
    </w:p>
    <w:p>
      <w:pPr>
        <w:spacing w:after="0" w:line="12" w:lineRule="exact"/>
        <w:rPr>
          <w:rFonts w:ascii="Arial" w:cs="Arial" w:eastAsia="Arial" w:hAnsi="Arial"/>
          <w:sz w:val="17"/>
          <w:szCs w:val="17"/>
          <w:color w:val="auto"/>
        </w:rPr>
      </w:pPr>
    </w:p>
    <w:p>
      <w:pPr>
        <w:ind w:left="180"/>
        <w:spacing w:after="0"/>
        <w:rPr>
          <w:rFonts w:ascii="Arial" w:cs="Arial" w:eastAsia="Arial" w:hAnsi="Arial"/>
          <w:sz w:val="17"/>
          <w:szCs w:val="17"/>
          <w:color w:val="auto"/>
        </w:rPr>
      </w:pPr>
      <w:r>
        <w:rPr>
          <w:rFonts w:ascii="Arial" w:cs="Arial" w:eastAsia="Arial" w:hAnsi="Arial"/>
          <w:sz w:val="18"/>
          <w:szCs w:val="18"/>
          <w:color w:val="auto"/>
        </w:rPr>
        <w:t xml:space="preserve">* </w:t>
      </w:r>
      <w:r>
        <w:rPr>
          <w:rFonts w:ascii="Arial" w:cs="Arial" w:eastAsia="Arial" w:hAnsi="Arial"/>
          <w:sz w:val="14"/>
          <w:szCs w:val="14"/>
          <w:color w:val="auto"/>
        </w:rPr>
        <w:t>Constitutes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69037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31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860"/>
          </w:cols>
          <w:pgMar w:left="240" w:top="175" w:right="7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Exhibit</w:t>
      </w:r>
    </w:p>
    <w:p>
      <w:pPr>
        <w:ind w:left="280"/>
        <w:spacing w:after="0"/>
        <w:tabs>
          <w:tab w:leader="none" w:pos="90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9037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27" w:lineRule="exact"/>
        <w:rPr>
          <w:sz w:val="20"/>
          <w:szCs w:val="20"/>
          <w:color w:val="auto"/>
        </w:rPr>
      </w:pPr>
    </w:p>
    <w:p>
      <w:pPr>
        <w:jc w:val="both"/>
        <w:ind w:left="920" w:hanging="609"/>
        <w:spacing w:after="0" w:line="259" w:lineRule="auto"/>
        <w:tabs>
          <w:tab w:leader="none" w:pos="900" w:val="left"/>
        </w:tabs>
        <w:rPr>
          <w:rFonts w:ascii="Arial" w:cs="Arial" w:eastAsia="Arial" w:hAnsi="Arial"/>
          <w:sz w:val="18"/>
          <w:szCs w:val="18"/>
          <w:color w:val="0000FF"/>
        </w:rPr>
      </w:pPr>
      <w:hyperlink r:id="rId20">
        <w:r>
          <w:rPr>
            <w:rFonts w:ascii="Arial" w:cs="Arial" w:eastAsia="Arial" w:hAnsi="Arial"/>
            <w:sz w:val="18"/>
            <w:szCs w:val="18"/>
            <w:u w:val="single" w:color="auto"/>
            <w:color w:val="0000FF"/>
          </w:rPr>
          <w:t>10.1</w:t>
        </w:r>
      </w:hyperlink>
      <w:r>
        <w:rPr>
          <w:rFonts w:ascii="Arial" w:cs="Arial" w:eastAsia="Arial" w:hAnsi="Arial"/>
          <w:sz w:val="18"/>
          <w:szCs w:val="18"/>
          <w:color w:val="0000FF"/>
        </w:rPr>
        <w:tab/>
        <w:t>Term Loan Credit Agreement among Comcast, the financial institutions party thereto, Bank of America, N.A., as administrative agent, Wells Fargo Bank, National Association, as syndication agent, and Merrill Lynch, Pierce, Fenner &amp; Smith Incorporated and Wells Fargo Securities LLC, as joint lead arrangers and joint bookrunners, dated April 25, 2018 (incorporated by reference to Exhibit 10.1 to NBCUniversal’s Current Report on Form 8-K filed on April 25, 2018).</w:t>
      </w:r>
    </w:p>
    <w:p>
      <w:pPr>
        <w:spacing w:after="0" w:line="25" w:lineRule="exact"/>
        <w:rPr>
          <w:sz w:val="20"/>
          <w:szCs w:val="20"/>
          <w:color w:val="auto"/>
        </w:rPr>
      </w:pPr>
    </w:p>
    <w:p>
      <w:pPr>
        <w:jc w:val="both"/>
        <w:ind w:left="920" w:right="20" w:hanging="609"/>
        <w:spacing w:after="0" w:line="259" w:lineRule="auto"/>
        <w:tabs>
          <w:tab w:leader="none" w:pos="900" w:val="left"/>
        </w:tabs>
        <w:rPr>
          <w:rFonts w:ascii="Arial" w:cs="Arial" w:eastAsia="Arial" w:hAnsi="Arial"/>
          <w:sz w:val="18"/>
          <w:szCs w:val="18"/>
          <w:color w:val="0000FF"/>
        </w:rPr>
      </w:pPr>
      <w:hyperlink r:id="rId21">
        <w:r>
          <w:rPr>
            <w:rFonts w:ascii="Arial" w:cs="Arial" w:eastAsia="Arial" w:hAnsi="Arial"/>
            <w:sz w:val="18"/>
            <w:szCs w:val="18"/>
            <w:u w:val="single" w:color="auto"/>
            <w:color w:val="0000FF"/>
          </w:rPr>
          <w:t>10.2</w:t>
        </w:r>
      </w:hyperlink>
      <w:r>
        <w:rPr>
          <w:rFonts w:ascii="Arial" w:cs="Arial" w:eastAsia="Arial" w:hAnsi="Arial"/>
          <w:sz w:val="18"/>
          <w:szCs w:val="18"/>
          <w:color w:val="0000FF"/>
        </w:rPr>
        <w:tab/>
        <w:t>364-day Bridge Loan Credit Agreement among Comcast, the financial institutions party thereto, Bank of America, N.A., as administrative agent, Wells Fargo Bank, National Association, as syndication agent, and Merrill Lynch, Pierce, Fenner &amp; Smith Incorporated and Wells Fargo Securities LLC as joint lead arrangers and joint bookrunners, dated April 25, 2018 (incorporated by reference to Exhibit 10.2 to NBCUniversal’s Current Report on Form 8-K filed on April 25, 2018).</w:t>
      </w:r>
    </w:p>
    <w:p>
      <w:pPr>
        <w:spacing w:after="0" w:line="25" w:lineRule="exact"/>
        <w:rPr>
          <w:sz w:val="20"/>
          <w:szCs w:val="20"/>
          <w:color w:val="auto"/>
        </w:rPr>
      </w:pPr>
    </w:p>
    <w:p>
      <w:pPr>
        <w:jc w:val="both"/>
        <w:ind w:left="920" w:hanging="609"/>
        <w:spacing w:after="0" w:line="279" w:lineRule="auto"/>
        <w:tabs>
          <w:tab w:leader="none" w:pos="900" w:val="left"/>
        </w:tabs>
        <w:rPr>
          <w:rFonts w:ascii="Arial" w:cs="Arial" w:eastAsia="Arial" w:hAnsi="Arial"/>
          <w:sz w:val="18"/>
          <w:szCs w:val="18"/>
          <w:color w:val="0000FF"/>
        </w:rPr>
      </w:pPr>
      <w:hyperlink r:id="rId22">
        <w:r>
          <w:rPr>
            <w:rFonts w:ascii="Arial" w:cs="Arial" w:eastAsia="Arial" w:hAnsi="Arial"/>
            <w:sz w:val="18"/>
            <w:szCs w:val="18"/>
            <w:u w:val="single" w:color="auto"/>
            <w:color w:val="0000FF"/>
          </w:rPr>
          <w:t>10.3</w:t>
        </w:r>
      </w:hyperlink>
      <w:r>
        <w:rPr>
          <w:rFonts w:ascii="Arial" w:cs="Arial" w:eastAsia="Arial" w:hAnsi="Arial"/>
          <w:sz w:val="18"/>
          <w:szCs w:val="18"/>
          <w:color w:val="0000FF"/>
        </w:rPr>
        <w:tab/>
      </w:r>
      <w:r>
        <w:rPr>
          <w:rFonts w:ascii="Arial" w:cs="Arial" w:eastAsia="Arial" w:hAnsi="Arial"/>
          <w:sz w:val="17"/>
          <w:szCs w:val="17"/>
          <w:color w:val="0000FF"/>
        </w:rPr>
        <w:t>Amendment No. 1 dated April 27, 2018, to Credit Agreement dated as of May 26, 2016, among Comcast Corporation, the financial institutions party thereto, JPMorgan Chase Bank, N.A., as administrative agent, Citibank, N.A., as syndication agent, Morgan Stanley MUFG Partners, LLC, Wells Fargo Bank, National Association and Mizuho Bank, Ltd., as co-documentation agents (incorporated by reference to Exhibit 10.1 to NBCUniversal’s Current Report on Form 8-K filed on April 30, 2018).</w:t>
      </w:r>
    </w:p>
    <w:p>
      <w:pPr>
        <w:spacing w:after="0" w:line="9" w:lineRule="exact"/>
        <w:rPr>
          <w:sz w:val="20"/>
          <w:szCs w:val="20"/>
          <w:color w:val="auto"/>
        </w:rPr>
      </w:pPr>
    </w:p>
    <w:p>
      <w:pPr>
        <w:ind w:left="300"/>
        <w:spacing w:after="0"/>
        <w:tabs>
          <w:tab w:leader="none" w:pos="900" w:val="left"/>
        </w:tabs>
        <w:rPr>
          <w:rFonts w:ascii="Arial" w:cs="Arial" w:eastAsia="Arial" w:hAnsi="Arial"/>
          <w:sz w:val="18"/>
          <w:szCs w:val="18"/>
          <w:color w:val="0000FF"/>
        </w:rPr>
      </w:pPr>
      <w:hyperlink w:anchor="page90">
        <w:r>
          <w:rPr>
            <w:rFonts w:ascii="Arial" w:cs="Arial" w:eastAsia="Arial" w:hAnsi="Arial"/>
            <w:sz w:val="18"/>
            <w:szCs w:val="18"/>
            <w:u w:val="single" w:color="auto"/>
            <w:color w:val="0000FF"/>
          </w:rPr>
          <w:t>31.2</w:t>
        </w:r>
      </w:hyperlink>
      <w:r>
        <w:rPr>
          <w:rFonts w:ascii="Arial" w:cs="Arial" w:eastAsia="Arial" w:hAnsi="Arial"/>
          <w:sz w:val="18"/>
          <w:szCs w:val="18"/>
          <w:color w:val="0000FF"/>
        </w:rPr>
        <w:tab/>
      </w:r>
      <w:r>
        <w:rPr>
          <w:rFonts w:ascii="Arial" w:cs="Arial" w:eastAsia="Arial" w:hAnsi="Arial"/>
          <w:sz w:val="16"/>
          <w:szCs w:val="16"/>
          <w:color w:val="0000FF"/>
        </w:rPr>
        <w:t>Certification of Principal Executive Officer and Principal Financial Officer pursuant to Section 302 of the Sarbanes-Oxley Act of 2002.</w:t>
      </w:r>
    </w:p>
    <w:p>
      <w:pPr>
        <w:spacing w:after="0" w:line="63" w:lineRule="exact"/>
        <w:rPr>
          <w:sz w:val="20"/>
          <w:szCs w:val="20"/>
          <w:color w:val="auto"/>
        </w:rPr>
      </w:pPr>
    </w:p>
    <w:p>
      <w:pPr>
        <w:ind w:left="300"/>
        <w:spacing w:after="0"/>
        <w:tabs>
          <w:tab w:leader="none" w:pos="900" w:val="left"/>
        </w:tabs>
        <w:rPr>
          <w:rFonts w:ascii="Arial" w:cs="Arial" w:eastAsia="Arial" w:hAnsi="Arial"/>
          <w:sz w:val="18"/>
          <w:szCs w:val="18"/>
          <w:color w:val="0000FF"/>
        </w:rPr>
      </w:pPr>
      <w:hyperlink w:anchor="page93">
        <w:r>
          <w:rPr>
            <w:rFonts w:ascii="Arial" w:cs="Arial" w:eastAsia="Arial" w:hAnsi="Arial"/>
            <w:sz w:val="18"/>
            <w:szCs w:val="18"/>
            <w:u w:val="single" w:color="auto"/>
            <w:color w:val="0000FF"/>
          </w:rPr>
          <w:t>32.2</w:t>
        </w:r>
      </w:hyperlink>
      <w:r>
        <w:rPr>
          <w:rFonts w:ascii="Arial" w:cs="Arial" w:eastAsia="Arial" w:hAnsi="Arial"/>
          <w:sz w:val="18"/>
          <w:szCs w:val="18"/>
          <w:color w:val="0000FF"/>
        </w:rPr>
        <w:tab/>
      </w:r>
      <w:r>
        <w:rPr>
          <w:rFonts w:ascii="Arial" w:cs="Arial" w:eastAsia="Arial" w:hAnsi="Arial"/>
          <w:sz w:val="16"/>
          <w:szCs w:val="16"/>
          <w:color w:val="0000FF"/>
        </w:rPr>
        <w:t>Certification of Principal Executive Officer and Principal Financial Officer pursuant to Section 906 of the Sarbanes-Oxley Act of 2002.</w:t>
      </w:r>
    </w:p>
    <w:p>
      <w:pPr>
        <w:spacing w:after="0" w:line="63" w:lineRule="exact"/>
        <w:rPr>
          <w:sz w:val="20"/>
          <w:szCs w:val="20"/>
          <w:color w:val="auto"/>
        </w:rPr>
      </w:pPr>
    </w:p>
    <w:p>
      <w:pPr>
        <w:jc w:val="both"/>
        <w:ind w:left="920" w:right="20" w:hanging="595"/>
        <w:spacing w:after="0" w:line="297" w:lineRule="auto"/>
        <w:tabs>
          <w:tab w:leader="none" w:pos="9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following financial statements from NBCUniversal Media, LLC’s Quarterly Report on Form 10-Q for the three and six months ended June 30, 2018, filed with the Securities and Exchange Commission on July 26, 2018, formatted in XBRL (eXtensible Business Reporting Language): (i) the Condensed Consolidated Statement of Income; (ii) the Condensed Consolidated Statement of Comprehensive Income; (iii) the Condensed Consolidated Statement of Cash Flows; (iv) the Condensed Consolidated Balance Sheet; (v) the Condensed Consolidated Statement of Changes in Equity; and (vi) the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69037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2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860"/>
          </w:cols>
          <w:pgMar w:left="240" w:top="175" w:right="7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Comcast</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COMCAST CORPORATION</w:t>
      </w:r>
    </w:p>
    <w:p>
      <w:pPr>
        <w:spacing w:after="0" w:line="185" w:lineRule="exact"/>
        <w:rPr>
          <w:sz w:val="20"/>
          <w:szCs w:val="20"/>
          <w:color w:val="auto"/>
        </w:rPr>
      </w:pPr>
    </w:p>
    <w:p>
      <w:pPr>
        <w:ind w:left="5900"/>
        <w:spacing w:after="0"/>
        <w:tabs>
          <w:tab w:leader="none" w:pos="6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31750</wp:posOffset>
            </wp:positionV>
            <wp:extent cx="31642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57"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Daniel C. Murdock</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Senior Vice President, Chief Accounting Officer and Controller</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(Principal Accounting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2018</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NBCUNIVERSAL MEDIA, LLC</w:t>
      </w:r>
    </w:p>
    <w:p>
      <w:pPr>
        <w:spacing w:after="0" w:line="185" w:lineRule="exact"/>
        <w:rPr>
          <w:sz w:val="20"/>
          <w:szCs w:val="20"/>
          <w:color w:val="auto"/>
        </w:rPr>
      </w:pPr>
    </w:p>
    <w:p>
      <w:pPr>
        <w:ind w:left="5900"/>
        <w:spacing w:after="0"/>
        <w:tabs>
          <w:tab w:leader="none" w:pos="6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31750</wp:posOffset>
            </wp:positionV>
            <wp:extent cx="31642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57"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Daniel C. Murdock</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(Principal Accounting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75"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NBCUniversal Media, LLC Financial Statements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7600" w:type="dxa"/>
            <w:vAlign w:val="bottom"/>
            <w:gridSpan w:val="7"/>
          </w:tcPr>
          <w:p>
            <w:pPr>
              <w:spacing w:after="0"/>
              <w:rPr>
                <w:sz w:val="20"/>
                <w:szCs w:val="20"/>
                <w:color w:val="auto"/>
              </w:rPr>
            </w:pPr>
            <w:r>
              <w:rPr>
                <w:rFonts w:ascii="Arial" w:cs="Arial" w:eastAsia="Arial" w:hAnsi="Arial"/>
                <w:sz w:val="18"/>
                <w:szCs w:val="18"/>
                <w:color w:val="auto"/>
              </w:rPr>
              <w:t>Index</w:t>
            </w:r>
          </w:p>
        </w:tc>
        <w:tc>
          <w:tcPr>
            <w:tcW w:w="3780" w:type="dxa"/>
            <w:vAlign w:val="bottom"/>
          </w:tcPr>
          <w:p>
            <w:pPr>
              <w:jc w:val="center"/>
              <w:ind w:left="2670"/>
              <w:spacing w:after="0"/>
              <w:rPr>
                <w:sz w:val="20"/>
                <w:szCs w:val="20"/>
                <w:color w:val="auto"/>
              </w:rPr>
            </w:pPr>
            <w:r>
              <w:rPr>
                <w:rFonts w:ascii="Arial" w:cs="Arial" w:eastAsia="Arial" w:hAnsi="Arial"/>
                <w:sz w:val="18"/>
                <w:szCs w:val="18"/>
                <w:color w:val="auto"/>
                <w:w w:val="80"/>
              </w:rPr>
              <w:t>Page</w:t>
            </w:r>
          </w:p>
        </w:tc>
      </w:tr>
      <w:tr>
        <w:trPr>
          <w:trHeight w:val="27"/>
        </w:trPr>
        <w:tc>
          <w:tcPr>
            <w:tcW w:w="4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334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54">
              <w:r>
                <w:rPr>
                  <w:rFonts w:ascii="Arial" w:cs="Arial" w:eastAsia="Arial" w:hAnsi="Arial"/>
                  <w:sz w:val="18"/>
                  <w:szCs w:val="18"/>
                  <w:color w:val="0000EE"/>
                  <w:w w:val="88"/>
                </w:rPr>
                <w:t>Condensed Consolidated Statement of Income</w:t>
              </w:r>
            </w:hyperlink>
          </w:p>
        </w:tc>
        <w:tc>
          <w:tcPr>
            <w:tcW w:w="4260" w:type="dxa"/>
            <w:vAlign w:val="bottom"/>
            <w:gridSpan w:val="5"/>
          </w:tcPr>
          <w:p>
            <w:pPr>
              <w:spacing w:after="0"/>
              <w:rPr>
                <w:sz w:val="17"/>
                <w:szCs w:val="17"/>
                <w:color w:val="auto"/>
              </w:rPr>
            </w:pPr>
          </w:p>
        </w:tc>
        <w:tc>
          <w:tcPr>
            <w:tcW w:w="3780" w:type="dxa"/>
            <w:vAlign w:val="bottom"/>
          </w:tcPr>
          <w:p>
            <w:pPr>
              <w:jc w:val="center"/>
              <w:ind w:left="2670"/>
              <w:spacing w:after="0" w:line="196" w:lineRule="exact"/>
              <w:rPr>
                <w:rFonts w:ascii="Arial" w:cs="Arial" w:eastAsia="Arial" w:hAnsi="Arial"/>
                <w:sz w:val="18"/>
                <w:szCs w:val="18"/>
                <w:color w:val="2C2C2C"/>
                <w:w w:val="89"/>
              </w:rPr>
            </w:pPr>
            <w:hyperlink w:anchor="page54">
              <w:r>
                <w:rPr>
                  <w:rFonts w:ascii="Arial" w:cs="Arial" w:eastAsia="Arial" w:hAnsi="Arial"/>
                  <w:sz w:val="18"/>
                  <w:szCs w:val="18"/>
                  <w:color w:val="2C2C2C"/>
                  <w:w w:val="89"/>
                </w:rPr>
                <w:t>51</w:t>
              </w:r>
            </w:hyperlink>
          </w:p>
        </w:tc>
      </w:tr>
      <w:tr>
        <w:trPr>
          <w:trHeight w:val="250"/>
        </w:trPr>
        <w:tc>
          <w:tcPr>
            <w:tcW w:w="40" w:type="dxa"/>
            <w:vAlign w:val="bottom"/>
          </w:tcPr>
          <w:p>
            <w:pPr>
              <w:spacing w:after="0"/>
              <w:rPr>
                <w:sz w:val="21"/>
                <w:szCs w:val="21"/>
                <w:color w:val="auto"/>
              </w:rPr>
            </w:pPr>
          </w:p>
        </w:tc>
        <w:tc>
          <w:tcPr>
            <w:tcW w:w="7600" w:type="dxa"/>
            <w:vAlign w:val="bottom"/>
            <w:gridSpan w:val="7"/>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Condensed Consolidated Statement of Comprehensive Income</w:t>
              </w:r>
            </w:hyperlink>
          </w:p>
        </w:tc>
        <w:tc>
          <w:tcPr>
            <w:tcW w:w="3780" w:type="dxa"/>
            <w:vAlign w:val="bottom"/>
          </w:tcPr>
          <w:p>
            <w:pPr>
              <w:jc w:val="center"/>
              <w:ind w:left="2670"/>
              <w:spacing w:after="0"/>
              <w:rPr>
                <w:rFonts w:ascii="Arial" w:cs="Arial" w:eastAsia="Arial" w:hAnsi="Arial"/>
                <w:sz w:val="18"/>
                <w:szCs w:val="18"/>
                <w:color w:val="2C2C2C"/>
                <w:w w:val="89"/>
              </w:rPr>
            </w:pPr>
            <w:hyperlink w:anchor="page55">
              <w:r>
                <w:rPr>
                  <w:rFonts w:ascii="Arial" w:cs="Arial" w:eastAsia="Arial" w:hAnsi="Arial"/>
                  <w:sz w:val="18"/>
                  <w:szCs w:val="18"/>
                  <w:color w:val="2C2C2C"/>
                  <w:w w:val="89"/>
                </w:rPr>
                <w:t>52</w:t>
              </w:r>
            </w:hyperlink>
          </w:p>
        </w:tc>
      </w:tr>
      <w:tr>
        <w:trPr>
          <w:trHeight w:val="250"/>
        </w:trPr>
        <w:tc>
          <w:tcPr>
            <w:tcW w:w="40" w:type="dxa"/>
            <w:vAlign w:val="bottom"/>
          </w:tcPr>
          <w:p>
            <w:pPr>
              <w:spacing w:after="0"/>
              <w:rPr>
                <w:sz w:val="21"/>
                <w:szCs w:val="21"/>
                <w:color w:val="auto"/>
              </w:rPr>
            </w:pPr>
          </w:p>
        </w:tc>
        <w:tc>
          <w:tcPr>
            <w:tcW w:w="36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8"/>
              </w:rPr>
            </w:pPr>
            <w:hyperlink w:anchor="page56">
              <w:r>
                <w:rPr>
                  <w:rFonts w:ascii="Arial" w:cs="Arial" w:eastAsia="Arial" w:hAnsi="Arial"/>
                  <w:sz w:val="18"/>
                  <w:szCs w:val="18"/>
                  <w:color w:val="0000EE"/>
                  <w:w w:val="88"/>
                </w:rPr>
                <w:t>Condensed Consolidated Statement of Cash Flows</w:t>
              </w:r>
            </w:hyperlink>
          </w:p>
        </w:tc>
        <w:tc>
          <w:tcPr>
            <w:tcW w:w="860" w:type="dxa"/>
            <w:vAlign w:val="bottom"/>
            <w:tcBorders>
              <w:top w:val="single" w:sz="8" w:color="0000EE"/>
            </w:tcBorders>
            <w:gridSpan w:val="3"/>
          </w:tcPr>
          <w:p>
            <w:pPr>
              <w:spacing w:after="0"/>
              <w:rPr>
                <w:sz w:val="21"/>
                <w:szCs w:val="21"/>
                <w:color w:val="auto"/>
              </w:rPr>
            </w:pPr>
          </w:p>
        </w:tc>
        <w:tc>
          <w:tcPr>
            <w:tcW w:w="3100" w:type="dxa"/>
            <w:vAlign w:val="bottom"/>
          </w:tcPr>
          <w:p>
            <w:pPr>
              <w:spacing w:after="0"/>
              <w:rPr>
                <w:sz w:val="21"/>
                <w:szCs w:val="21"/>
                <w:color w:val="auto"/>
              </w:rPr>
            </w:pPr>
          </w:p>
        </w:tc>
        <w:tc>
          <w:tcPr>
            <w:tcW w:w="3780" w:type="dxa"/>
            <w:vAlign w:val="bottom"/>
          </w:tcPr>
          <w:p>
            <w:pPr>
              <w:jc w:val="center"/>
              <w:ind w:left="2670"/>
              <w:spacing w:after="0"/>
              <w:rPr>
                <w:rFonts w:ascii="Arial" w:cs="Arial" w:eastAsia="Arial" w:hAnsi="Arial"/>
                <w:sz w:val="18"/>
                <w:szCs w:val="18"/>
                <w:color w:val="2C2C2C"/>
                <w:w w:val="89"/>
              </w:rPr>
            </w:pPr>
            <w:hyperlink w:anchor="page56">
              <w:r>
                <w:rPr>
                  <w:rFonts w:ascii="Arial" w:cs="Arial" w:eastAsia="Arial" w:hAnsi="Arial"/>
                  <w:sz w:val="18"/>
                  <w:szCs w:val="18"/>
                  <w:color w:val="2C2C2C"/>
                  <w:w w:val="89"/>
                </w:rPr>
                <w:t>53</w:t>
              </w:r>
            </w:hyperlink>
          </w:p>
        </w:tc>
      </w:tr>
      <w:tr>
        <w:trPr>
          <w:trHeight w:val="250"/>
        </w:trPr>
        <w:tc>
          <w:tcPr>
            <w:tcW w:w="40" w:type="dxa"/>
            <w:vAlign w:val="bottom"/>
          </w:tcPr>
          <w:p>
            <w:pPr>
              <w:spacing w:after="0"/>
              <w:rPr>
                <w:sz w:val="21"/>
                <w:szCs w:val="21"/>
                <w:color w:val="auto"/>
              </w:rPr>
            </w:pPr>
          </w:p>
        </w:tc>
        <w:tc>
          <w:tcPr>
            <w:tcW w:w="2860" w:type="dxa"/>
            <w:vAlign w:val="bottom"/>
            <w:tcBorders>
              <w:bottom w:val="single" w:sz="8" w:color="0000EE"/>
            </w:tcBorders>
          </w:tcPr>
          <w:p>
            <w:pPr>
              <w:spacing w:after="0"/>
              <w:rPr>
                <w:rFonts w:ascii="Arial" w:cs="Arial" w:eastAsia="Arial" w:hAnsi="Arial"/>
                <w:sz w:val="18"/>
                <w:szCs w:val="18"/>
                <w:color w:val="0000EE"/>
                <w:w w:val="87"/>
              </w:rPr>
            </w:pPr>
            <w:hyperlink w:anchor="page57">
              <w:r>
                <w:rPr>
                  <w:rFonts w:ascii="Arial" w:cs="Arial" w:eastAsia="Arial" w:hAnsi="Arial"/>
                  <w:sz w:val="18"/>
                  <w:szCs w:val="18"/>
                  <w:color w:val="0000EE"/>
                  <w:w w:val="87"/>
                </w:rPr>
                <w:t>Condensed Consolidated Balance Sheet</w:t>
              </w:r>
            </w:hyperlink>
          </w:p>
        </w:tc>
        <w:tc>
          <w:tcPr>
            <w:tcW w:w="4740" w:type="dxa"/>
            <w:vAlign w:val="bottom"/>
            <w:gridSpan w:val="6"/>
          </w:tcPr>
          <w:p>
            <w:pPr>
              <w:spacing w:after="0"/>
              <w:rPr>
                <w:sz w:val="21"/>
                <w:szCs w:val="21"/>
                <w:color w:val="auto"/>
              </w:rPr>
            </w:pPr>
          </w:p>
        </w:tc>
        <w:tc>
          <w:tcPr>
            <w:tcW w:w="3780" w:type="dxa"/>
            <w:vAlign w:val="bottom"/>
          </w:tcPr>
          <w:p>
            <w:pPr>
              <w:jc w:val="center"/>
              <w:ind w:left="2670"/>
              <w:spacing w:after="0"/>
              <w:rPr>
                <w:rFonts w:ascii="Arial" w:cs="Arial" w:eastAsia="Arial" w:hAnsi="Arial"/>
                <w:sz w:val="18"/>
                <w:szCs w:val="18"/>
                <w:color w:val="2C2C2C"/>
                <w:w w:val="89"/>
              </w:rPr>
            </w:pPr>
            <w:hyperlink w:anchor="page57">
              <w:r>
                <w:rPr>
                  <w:rFonts w:ascii="Arial" w:cs="Arial" w:eastAsia="Arial" w:hAnsi="Arial"/>
                  <w:sz w:val="18"/>
                  <w:szCs w:val="18"/>
                  <w:color w:val="2C2C2C"/>
                  <w:w w:val="89"/>
                </w:rPr>
                <w:t>54</w:t>
              </w:r>
            </w:hyperlink>
          </w:p>
        </w:tc>
      </w:tr>
      <w:tr>
        <w:trPr>
          <w:trHeight w:val="250"/>
        </w:trPr>
        <w:tc>
          <w:tcPr>
            <w:tcW w:w="40" w:type="dxa"/>
            <w:vAlign w:val="bottom"/>
          </w:tcPr>
          <w:p>
            <w:pPr>
              <w:spacing w:after="0"/>
              <w:rPr>
                <w:sz w:val="21"/>
                <w:szCs w:val="21"/>
                <w:color w:val="auto"/>
              </w:rPr>
            </w:pPr>
          </w:p>
        </w:tc>
        <w:tc>
          <w:tcPr>
            <w:tcW w:w="7600" w:type="dxa"/>
            <w:vAlign w:val="bottom"/>
            <w:gridSpan w:val="7"/>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Condensed Consolidated Statement of Changes in Equity</w:t>
              </w:r>
            </w:hyperlink>
          </w:p>
        </w:tc>
        <w:tc>
          <w:tcPr>
            <w:tcW w:w="3780" w:type="dxa"/>
            <w:vAlign w:val="bottom"/>
          </w:tcPr>
          <w:p>
            <w:pPr>
              <w:jc w:val="center"/>
              <w:ind w:left="2670"/>
              <w:spacing w:after="0"/>
              <w:rPr>
                <w:rFonts w:ascii="Arial" w:cs="Arial" w:eastAsia="Arial" w:hAnsi="Arial"/>
                <w:sz w:val="18"/>
                <w:szCs w:val="18"/>
                <w:color w:val="2C2C2C"/>
                <w:w w:val="89"/>
              </w:rPr>
            </w:pPr>
            <w:hyperlink w:anchor="page58">
              <w:r>
                <w:rPr>
                  <w:rFonts w:ascii="Arial" w:cs="Arial" w:eastAsia="Arial" w:hAnsi="Arial"/>
                  <w:sz w:val="18"/>
                  <w:szCs w:val="18"/>
                  <w:color w:val="2C2C2C"/>
                  <w:w w:val="89"/>
                </w:rPr>
                <w:t>55</w:t>
              </w:r>
            </w:hyperlink>
          </w:p>
        </w:tc>
      </w:tr>
      <w:tr>
        <w:trPr>
          <w:trHeight w:val="250"/>
        </w:trPr>
        <w:tc>
          <w:tcPr>
            <w:tcW w:w="40" w:type="dxa"/>
            <w:vAlign w:val="bottom"/>
          </w:tcPr>
          <w:p>
            <w:pPr>
              <w:spacing w:after="0"/>
              <w:rPr>
                <w:sz w:val="21"/>
                <w:szCs w:val="21"/>
                <w:color w:val="auto"/>
              </w:rPr>
            </w:pPr>
          </w:p>
        </w:tc>
        <w:tc>
          <w:tcPr>
            <w:tcW w:w="4120" w:type="dxa"/>
            <w:vAlign w:val="bottom"/>
            <w:tcBorders>
              <w:top w:val="single" w:sz="8" w:color="0000EE"/>
            </w:tcBorders>
            <w:gridSpan w:val="5"/>
          </w:tcPr>
          <w:p>
            <w:pPr>
              <w:spacing w:after="0"/>
              <w:rPr>
                <w:rFonts w:ascii="Arial" w:cs="Arial" w:eastAsia="Arial" w:hAnsi="Arial"/>
                <w:sz w:val="18"/>
                <w:szCs w:val="18"/>
                <w:color w:val="0000EE"/>
                <w:w w:val="91"/>
              </w:rPr>
            </w:pPr>
            <w:hyperlink w:anchor="page59">
              <w:r>
                <w:rPr>
                  <w:rFonts w:ascii="Arial" w:cs="Arial" w:eastAsia="Arial" w:hAnsi="Arial"/>
                  <w:sz w:val="18"/>
                  <w:szCs w:val="18"/>
                  <w:color w:val="0000EE"/>
                  <w:w w:val="91"/>
                </w:rPr>
                <w:t>Notes to Condensed Consolidated Financial Statements</w:t>
              </w:r>
            </w:hyperlink>
          </w:p>
        </w:tc>
        <w:tc>
          <w:tcPr>
            <w:tcW w:w="3480" w:type="dxa"/>
            <w:vAlign w:val="bottom"/>
            <w:gridSpan w:val="2"/>
          </w:tcPr>
          <w:p>
            <w:pPr>
              <w:spacing w:after="0"/>
              <w:rPr>
                <w:sz w:val="21"/>
                <w:szCs w:val="21"/>
                <w:color w:val="auto"/>
              </w:rPr>
            </w:pPr>
          </w:p>
        </w:tc>
        <w:tc>
          <w:tcPr>
            <w:tcW w:w="3780" w:type="dxa"/>
            <w:vAlign w:val="bottom"/>
          </w:tcPr>
          <w:p>
            <w:pPr>
              <w:jc w:val="center"/>
              <w:ind w:left="2670"/>
              <w:spacing w:after="0"/>
              <w:rPr>
                <w:rFonts w:ascii="Arial" w:cs="Arial" w:eastAsia="Arial" w:hAnsi="Arial"/>
                <w:sz w:val="18"/>
                <w:szCs w:val="18"/>
                <w:color w:val="2C2C2C"/>
                <w:w w:val="89"/>
              </w:rPr>
            </w:pPr>
            <w:hyperlink w:anchor="page59">
              <w:r>
                <w:rPr>
                  <w:rFonts w:ascii="Arial" w:cs="Arial" w:eastAsia="Arial" w:hAnsi="Arial"/>
                  <w:sz w:val="18"/>
                  <w:szCs w:val="18"/>
                  <w:color w:val="2C2C2C"/>
                  <w:w w:val="89"/>
                </w:rPr>
                <w:t>56</w:t>
              </w:r>
            </w:hyperlink>
          </w:p>
        </w:tc>
      </w:tr>
      <w:tr>
        <w:trPr>
          <w:trHeight w:val="48"/>
        </w:trPr>
        <w:tc>
          <w:tcPr>
            <w:tcW w:w="40" w:type="dxa"/>
            <w:vAlign w:val="bottom"/>
            <w:tcBorders>
              <w:bottom w:val="single" w:sz="8" w:color="auto"/>
            </w:tcBorders>
          </w:tcPr>
          <w:p>
            <w:pPr>
              <w:spacing w:after="0"/>
              <w:rPr>
                <w:sz w:val="4"/>
                <w:szCs w:val="4"/>
                <w:color w:val="auto"/>
              </w:rPr>
            </w:pPr>
          </w:p>
        </w:tc>
        <w:tc>
          <w:tcPr>
            <w:tcW w:w="2860" w:type="dxa"/>
            <w:vAlign w:val="bottom"/>
            <w:tcBorders>
              <w:top w:val="single" w:sz="8" w:color="0000EE"/>
              <w:bottom w:val="single" w:sz="8" w:color="auto"/>
            </w:tcBorders>
          </w:tcPr>
          <w:p>
            <w:pPr>
              <w:spacing w:after="0"/>
              <w:rPr>
                <w:sz w:val="4"/>
                <w:szCs w:val="4"/>
                <w:color w:val="auto"/>
              </w:rPr>
            </w:pPr>
          </w:p>
        </w:tc>
        <w:tc>
          <w:tcPr>
            <w:tcW w:w="480" w:type="dxa"/>
            <w:vAlign w:val="bottom"/>
            <w:tcBorders>
              <w:top w:val="single" w:sz="8" w:color="0000EE"/>
              <w:bottom w:val="single" w:sz="8" w:color="auto"/>
            </w:tcBorders>
          </w:tcPr>
          <w:p>
            <w:pPr>
              <w:spacing w:after="0"/>
              <w:rPr>
                <w:sz w:val="4"/>
                <w:szCs w:val="4"/>
                <w:color w:val="auto"/>
              </w:rPr>
            </w:pPr>
          </w:p>
        </w:tc>
        <w:tc>
          <w:tcPr>
            <w:tcW w:w="300" w:type="dxa"/>
            <w:vAlign w:val="bottom"/>
            <w:tcBorders>
              <w:top w:val="single" w:sz="8" w:color="0000EE"/>
              <w:bottom w:val="single" w:sz="8" w:color="auto"/>
            </w:tcBorders>
          </w:tcPr>
          <w:p>
            <w:pPr>
              <w:spacing w:after="0"/>
              <w:rPr>
                <w:sz w:val="4"/>
                <w:szCs w:val="4"/>
                <w:color w:val="auto"/>
              </w:rPr>
            </w:pPr>
          </w:p>
        </w:tc>
        <w:tc>
          <w:tcPr>
            <w:tcW w:w="340" w:type="dxa"/>
            <w:vAlign w:val="bottom"/>
            <w:tcBorders>
              <w:top w:val="single" w:sz="8" w:color="0000EE"/>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100" w:type="dxa"/>
            <w:vAlign w:val="bottom"/>
            <w:tcBorders>
              <w:bottom w:val="single" w:sz="8" w:color="auto"/>
            </w:tcBorders>
          </w:tcPr>
          <w:p>
            <w:pPr>
              <w:spacing w:after="0"/>
              <w:rPr>
                <w:sz w:val="4"/>
                <w:szCs w:val="4"/>
                <w:color w:val="auto"/>
              </w:rPr>
            </w:pPr>
          </w:p>
        </w:tc>
        <w:tc>
          <w:tcPr>
            <w:tcW w:w="378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75"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60" w:type="dxa"/>
            <w:vAlign w:val="bottom"/>
          </w:tcPr>
          <w:p>
            <w:pPr>
              <w:spacing w:after="0"/>
              <w:rPr>
                <w:sz w:val="14"/>
                <w:szCs w:val="14"/>
                <w:color w:val="auto"/>
              </w:rPr>
            </w:pPr>
          </w:p>
        </w:tc>
      </w:tr>
      <w:tr>
        <w:trPr>
          <w:trHeight w:val="188"/>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4"/>
                <w:szCs w:val="14"/>
                <w:color w:val="auto"/>
              </w:rPr>
              <w:t>June 30</w:t>
            </w:r>
          </w:p>
        </w:tc>
        <w:tc>
          <w:tcPr>
            <w:tcW w:w="10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color w:val="auto"/>
              </w:rPr>
              <w:t>2018</w:t>
            </w:r>
          </w:p>
        </w:tc>
        <w:tc>
          <w:tcPr>
            <w:tcW w:w="6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color w:val="auto"/>
              </w:rPr>
              <w:t>2017</w:t>
            </w: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2018</w:t>
            </w: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2017</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8,313</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8,318</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17,843</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16,171</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60" w:type="dxa"/>
            <w:vAlign w:val="bottom"/>
          </w:tcPr>
          <w:p>
            <w:pPr>
              <w:spacing w:after="0"/>
              <w:rPr>
                <w:sz w:val="23"/>
                <w:szCs w:val="23"/>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3,478</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3,576</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8,051</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6,876</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60" w:type="dxa"/>
            <w:vAlign w:val="bottom"/>
          </w:tcPr>
          <w:p>
            <w:pPr>
              <w:spacing w:after="0"/>
              <w:rPr>
                <w:sz w:val="23"/>
                <w:szCs w:val="23"/>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1,955</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1,890</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3,927</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3,718</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60" w:type="dxa"/>
            <w:vAlign w:val="bottom"/>
          </w:tcPr>
          <w:p>
            <w:pPr>
              <w:spacing w:after="0"/>
              <w:rPr>
                <w:sz w:val="23"/>
                <w:szCs w:val="23"/>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720</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778</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1,420</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1,484</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3"/>
                <w:szCs w:val="23"/>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258</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265</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500</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496</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23"/>
                <w:szCs w:val="23"/>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295</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255</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563</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532</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360" w:type="dxa"/>
            <w:vAlign w:val="bottom"/>
          </w:tcPr>
          <w:p>
            <w:pPr>
              <w:spacing w:after="0"/>
              <w:rPr>
                <w:sz w:val="20"/>
                <w:szCs w:val="20"/>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6,706</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6,764</w:t>
            </w:r>
          </w:p>
        </w:tc>
        <w:tc>
          <w:tcPr>
            <w:tcW w:w="480" w:type="dxa"/>
            <w:vAlign w:val="bottom"/>
          </w:tcPr>
          <w:p>
            <w:pPr>
              <w:spacing w:after="0"/>
              <w:rPr>
                <w:sz w:val="20"/>
                <w:szCs w:val="20"/>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14,461</w:t>
            </w:r>
          </w:p>
        </w:tc>
        <w:tc>
          <w:tcPr>
            <w:tcW w:w="64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13,106</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Pr>
          <w:p>
            <w:pPr>
              <w:spacing w:after="0"/>
              <w:rPr>
                <w:sz w:val="20"/>
                <w:szCs w:val="20"/>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1,607</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1,554</w:t>
            </w:r>
          </w:p>
        </w:tc>
        <w:tc>
          <w:tcPr>
            <w:tcW w:w="480" w:type="dxa"/>
            <w:vAlign w:val="bottom"/>
          </w:tcPr>
          <w:p>
            <w:pPr>
              <w:spacing w:after="0"/>
              <w:rPr>
                <w:sz w:val="20"/>
                <w:szCs w:val="20"/>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3,382</w:t>
            </w:r>
          </w:p>
        </w:tc>
        <w:tc>
          <w:tcPr>
            <w:tcW w:w="64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3,065</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3"/>
                <w:szCs w:val="23"/>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(133)</w:t>
            </w:r>
          </w:p>
        </w:tc>
        <w:tc>
          <w:tcPr>
            <w:tcW w:w="6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(149)</w:t>
            </w:r>
          </w:p>
        </w:tc>
        <w:tc>
          <w:tcPr>
            <w:tcW w:w="48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(260)</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(292)</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Investment and other income (loss), net</w:t>
            </w:r>
          </w:p>
        </w:tc>
        <w:tc>
          <w:tcPr>
            <w:tcW w:w="360" w:type="dxa"/>
            <w:vAlign w:val="bottom"/>
          </w:tcPr>
          <w:p>
            <w:pPr>
              <w:spacing w:after="0"/>
              <w:rPr>
                <w:sz w:val="23"/>
                <w:szCs w:val="23"/>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(168)</w:t>
            </w:r>
          </w:p>
        </w:tc>
        <w:tc>
          <w:tcPr>
            <w:tcW w:w="6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(15)</w:t>
            </w:r>
          </w:p>
        </w:tc>
        <w:tc>
          <w:tcPr>
            <w:tcW w:w="48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(172)</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20"/>
                <w:szCs w:val="20"/>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1,306</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1,390</w:t>
            </w:r>
          </w:p>
        </w:tc>
        <w:tc>
          <w:tcPr>
            <w:tcW w:w="480" w:type="dxa"/>
            <w:vAlign w:val="bottom"/>
          </w:tcPr>
          <w:p>
            <w:pPr>
              <w:spacing w:after="0"/>
              <w:rPr>
                <w:sz w:val="20"/>
                <w:szCs w:val="20"/>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2,950</w:t>
            </w:r>
          </w:p>
        </w:tc>
        <w:tc>
          <w:tcPr>
            <w:tcW w:w="64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2,757</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3"/>
                <w:szCs w:val="23"/>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(88)</w:t>
            </w:r>
          </w:p>
        </w:tc>
        <w:tc>
          <w:tcPr>
            <w:tcW w:w="6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(99)</w:t>
            </w:r>
          </w:p>
        </w:tc>
        <w:tc>
          <w:tcPr>
            <w:tcW w:w="48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(179)</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20"/>
                <w:szCs w:val="20"/>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1,218</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1,291</w:t>
            </w:r>
          </w:p>
        </w:tc>
        <w:tc>
          <w:tcPr>
            <w:tcW w:w="480" w:type="dxa"/>
            <w:vAlign w:val="bottom"/>
          </w:tcPr>
          <w:p>
            <w:pPr>
              <w:spacing w:after="0"/>
              <w:rPr>
                <w:sz w:val="20"/>
                <w:szCs w:val="20"/>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2,771</w:t>
            </w:r>
          </w:p>
        </w:tc>
        <w:tc>
          <w:tcPr>
            <w:tcW w:w="64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2,566</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w w:val="96"/>
              </w:rPr>
              <w:t>Less: Net income (loss) attributable to noncontrolling interests</w:t>
            </w:r>
          </w:p>
        </w:tc>
        <w:tc>
          <w:tcPr>
            <w:tcW w:w="360" w:type="dxa"/>
            <w:vAlign w:val="bottom"/>
          </w:tcPr>
          <w:p>
            <w:pPr>
              <w:spacing w:after="0"/>
              <w:rPr>
                <w:sz w:val="23"/>
                <w:szCs w:val="23"/>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(29)</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11</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85</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NBCUniversal</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33"/>
              <w:spacing w:after="0"/>
              <w:rPr>
                <w:sz w:val="20"/>
                <w:szCs w:val="20"/>
                <w:color w:val="auto"/>
              </w:rPr>
            </w:pPr>
            <w:r>
              <w:rPr>
                <w:rFonts w:ascii="Arial" w:cs="Arial" w:eastAsia="Arial" w:hAnsi="Arial"/>
                <w:sz w:val="18"/>
                <w:szCs w:val="18"/>
                <w:b w:val="1"/>
                <w:bCs w:val="1"/>
                <w:color w:val="auto"/>
              </w:rPr>
              <w:t>1,247</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b w:val="1"/>
                <w:bCs w:val="1"/>
                <w:color w:val="auto"/>
              </w:rPr>
              <w:t>1,279</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b w:val="1"/>
                <w:bCs w:val="1"/>
                <w:color w:val="auto"/>
              </w:rPr>
              <w:t>2,760</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2,481</w:t>
            </w:r>
          </w:p>
        </w:tc>
      </w:tr>
      <w:tr>
        <w:trPr>
          <w:trHeight w:val="34"/>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1"/>
        </w:trPr>
        <w:tc>
          <w:tcPr>
            <w:tcW w:w="480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863"/>
        </w:trPr>
        <w:tc>
          <w:tcPr>
            <w:tcW w:w="4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ind w:right="533"/>
              <w:spacing w:after="0"/>
              <w:rPr>
                <w:sz w:val="20"/>
                <w:szCs w:val="20"/>
                <w:color w:val="auto"/>
              </w:rPr>
            </w:pPr>
            <w:r>
              <w:rPr>
                <w:rFonts w:ascii="Arial" w:cs="Arial" w:eastAsia="Arial" w:hAnsi="Arial"/>
                <w:sz w:val="18"/>
                <w:szCs w:val="18"/>
                <w:color w:val="auto"/>
              </w:rPr>
              <w:t>51</w:t>
            </w: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60" w:type="dxa"/>
            <w:vAlign w:val="bottom"/>
          </w:tcPr>
          <w:p>
            <w:pPr>
              <w:spacing w:after="0"/>
              <w:rPr>
                <w:sz w:val="14"/>
                <w:szCs w:val="14"/>
                <w:color w:val="auto"/>
              </w:rPr>
            </w:pPr>
          </w:p>
        </w:tc>
      </w:tr>
      <w:tr>
        <w:trPr>
          <w:trHeight w:val="188"/>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4"/>
                <w:szCs w:val="14"/>
                <w:color w:val="auto"/>
              </w:rPr>
              <w:t>June 30</w:t>
            </w:r>
          </w:p>
        </w:tc>
        <w:tc>
          <w:tcPr>
            <w:tcW w:w="10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color w:val="auto"/>
              </w:rPr>
              <w:t>2018</w:t>
            </w:r>
          </w:p>
        </w:tc>
        <w:tc>
          <w:tcPr>
            <w:tcW w:w="6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2017</w:t>
            </w: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2018</w:t>
            </w: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color w:val="auto"/>
              </w:rPr>
              <w:t>2017</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1,218</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1,291</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2,771</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2,566</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Unrealized gains (losses) on marketable securities, net</w:t>
            </w:r>
          </w:p>
        </w:tc>
        <w:tc>
          <w:tcPr>
            <w:tcW w:w="360" w:type="dxa"/>
            <w:vAlign w:val="bottom"/>
          </w:tcPr>
          <w:p>
            <w:pPr>
              <w:spacing w:after="0"/>
              <w:rPr>
                <w:sz w:val="23"/>
                <w:szCs w:val="23"/>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(140)</w:t>
            </w:r>
          </w:p>
        </w:tc>
        <w:tc>
          <w:tcPr>
            <w:tcW w:w="480" w:type="dxa"/>
            <w:vAlign w:val="bottom"/>
          </w:tcPr>
          <w:p>
            <w:pPr>
              <w:spacing w:after="0"/>
              <w:rPr>
                <w:sz w:val="23"/>
                <w:szCs w:val="23"/>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Deferred gains (losses) on cash flow hedges, net</w:t>
            </w:r>
          </w:p>
        </w:tc>
        <w:tc>
          <w:tcPr>
            <w:tcW w:w="360" w:type="dxa"/>
            <w:vAlign w:val="bottom"/>
          </w:tcPr>
          <w:p>
            <w:pPr>
              <w:spacing w:after="0"/>
              <w:rPr>
                <w:sz w:val="23"/>
                <w:szCs w:val="23"/>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11</w:t>
            </w:r>
          </w:p>
        </w:tc>
        <w:tc>
          <w:tcPr>
            <w:tcW w:w="68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(8)</w:t>
            </w:r>
          </w:p>
        </w:tc>
        <w:tc>
          <w:tcPr>
            <w:tcW w:w="480" w:type="dxa"/>
            <w:vAlign w:val="bottom"/>
          </w:tcPr>
          <w:p>
            <w:pPr>
              <w:spacing w:after="0"/>
              <w:rPr>
                <w:sz w:val="23"/>
                <w:szCs w:val="23"/>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(2)</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Employee benefit obligations, net</w:t>
            </w:r>
          </w:p>
        </w:tc>
        <w:tc>
          <w:tcPr>
            <w:tcW w:w="360" w:type="dxa"/>
            <w:vAlign w:val="bottom"/>
          </w:tcPr>
          <w:p>
            <w:pPr>
              <w:spacing w:after="0"/>
              <w:rPr>
                <w:sz w:val="23"/>
                <w:szCs w:val="23"/>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23"/>
                <w:szCs w:val="23"/>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(7)</w:t>
            </w:r>
          </w:p>
        </w:tc>
        <w:tc>
          <w:tcPr>
            <w:tcW w:w="64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104</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Currency translation adjustments, net</w:t>
            </w:r>
          </w:p>
        </w:tc>
        <w:tc>
          <w:tcPr>
            <w:tcW w:w="360" w:type="dxa"/>
            <w:vAlign w:val="bottom"/>
          </w:tcPr>
          <w:p>
            <w:pPr>
              <w:spacing w:after="0"/>
              <w:rPr>
                <w:sz w:val="23"/>
                <w:szCs w:val="23"/>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(215)</w:t>
            </w:r>
          </w:p>
        </w:tc>
        <w:tc>
          <w:tcPr>
            <w:tcW w:w="68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23"/>
                <w:szCs w:val="23"/>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(11)</w:t>
            </w:r>
          </w:p>
        </w:tc>
        <w:tc>
          <w:tcPr>
            <w:tcW w:w="64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189</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60" w:type="dxa"/>
            <w:vAlign w:val="bottom"/>
          </w:tcPr>
          <w:p>
            <w:pPr>
              <w:spacing w:after="0"/>
              <w:rPr>
                <w:sz w:val="20"/>
                <w:szCs w:val="20"/>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1,011</w:t>
            </w:r>
          </w:p>
        </w:tc>
        <w:tc>
          <w:tcPr>
            <w:tcW w:w="6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1,130</w:t>
            </w:r>
          </w:p>
        </w:tc>
        <w:tc>
          <w:tcPr>
            <w:tcW w:w="480" w:type="dxa"/>
            <w:vAlign w:val="bottom"/>
          </w:tcPr>
          <w:p>
            <w:pPr>
              <w:spacing w:after="0"/>
              <w:rPr>
                <w:sz w:val="20"/>
                <w:szCs w:val="20"/>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2,751</w:t>
            </w:r>
          </w:p>
        </w:tc>
        <w:tc>
          <w:tcPr>
            <w:tcW w:w="64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2,698</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w w:val="96"/>
              </w:rPr>
              <w:t>Less: Net income (loss) attributable to noncontrolling interests</w:t>
            </w:r>
          </w:p>
        </w:tc>
        <w:tc>
          <w:tcPr>
            <w:tcW w:w="360" w:type="dxa"/>
            <w:vAlign w:val="bottom"/>
          </w:tcPr>
          <w:p>
            <w:pPr>
              <w:spacing w:after="0"/>
              <w:rPr>
                <w:sz w:val="23"/>
                <w:szCs w:val="23"/>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(29)</w:t>
            </w:r>
          </w:p>
        </w:tc>
        <w:tc>
          <w:tcPr>
            <w:tcW w:w="680" w:type="dxa"/>
            <w:vAlign w:val="bottom"/>
          </w:tcPr>
          <w:p>
            <w:pPr>
              <w:spacing w:after="0"/>
              <w:rPr>
                <w:sz w:val="23"/>
                <w:szCs w:val="23"/>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23"/>
                <w:szCs w:val="23"/>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11</w:t>
            </w:r>
          </w:p>
        </w:tc>
        <w:tc>
          <w:tcPr>
            <w:tcW w:w="64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85</w:t>
            </w:r>
          </w:p>
        </w:tc>
      </w:tr>
      <w:tr>
        <w:trPr>
          <w:trHeight w:val="256"/>
        </w:trPr>
        <w:tc>
          <w:tcPr>
            <w:tcW w:w="4800" w:type="dxa"/>
            <w:vAlign w:val="bottom"/>
          </w:tcPr>
          <w:p>
            <w:pPr>
              <w:ind w:left="40"/>
              <w:spacing w:after="0"/>
              <w:rPr>
                <w:sz w:val="20"/>
                <w:szCs w:val="20"/>
                <w:color w:val="auto"/>
              </w:rPr>
            </w:pPr>
            <w:r>
              <w:rPr>
                <w:rFonts w:ascii="Arial" w:cs="Arial" w:eastAsia="Arial" w:hAnsi="Arial"/>
                <w:sz w:val="18"/>
                <w:szCs w:val="18"/>
                <w:color w:val="auto"/>
              </w:rPr>
              <w:t>Less: Other comprehensive income (loss) attributable to</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480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360" w:type="dxa"/>
            <w:vAlign w:val="bottom"/>
          </w:tcPr>
          <w:p>
            <w:pPr>
              <w:spacing w:after="0"/>
              <w:rPr>
                <w:sz w:val="20"/>
                <w:szCs w:val="20"/>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(29)</w:t>
            </w:r>
          </w:p>
        </w:tc>
        <w:tc>
          <w:tcPr>
            <w:tcW w:w="68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20"/>
                <w:szCs w:val="20"/>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(25)</w:t>
            </w:r>
          </w:p>
        </w:tc>
        <w:tc>
          <w:tcPr>
            <w:tcW w:w="64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82</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attributable to NBCUniversal</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34"/>
              <w:spacing w:after="0"/>
              <w:rPr>
                <w:sz w:val="20"/>
                <w:szCs w:val="20"/>
                <w:color w:val="auto"/>
              </w:rPr>
            </w:pPr>
            <w:r>
              <w:rPr>
                <w:rFonts w:ascii="Arial" w:cs="Arial" w:eastAsia="Arial" w:hAnsi="Arial"/>
                <w:sz w:val="18"/>
                <w:szCs w:val="18"/>
                <w:b w:val="1"/>
                <w:bCs w:val="1"/>
                <w:color w:val="auto"/>
              </w:rPr>
              <w:t>1,069</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b w:val="1"/>
                <w:bCs w:val="1"/>
                <w:color w:val="auto"/>
              </w:rPr>
              <w:t>1,123</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14"/>
              <w:spacing w:after="0"/>
              <w:rPr>
                <w:sz w:val="20"/>
                <w:szCs w:val="20"/>
                <w:color w:val="auto"/>
              </w:rPr>
            </w:pPr>
            <w:r>
              <w:rPr>
                <w:rFonts w:ascii="Arial" w:cs="Arial" w:eastAsia="Arial" w:hAnsi="Arial"/>
                <w:sz w:val="18"/>
                <w:szCs w:val="18"/>
                <w:b w:val="1"/>
                <w:bCs w:val="1"/>
                <w:color w:val="auto"/>
              </w:rPr>
              <w:t>2,765</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2,531</w:t>
            </w:r>
          </w:p>
        </w:tc>
      </w:tr>
      <w:tr>
        <w:trPr>
          <w:trHeight w:val="34"/>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1"/>
        </w:trPr>
        <w:tc>
          <w:tcPr>
            <w:tcW w:w="480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539"/>
        </w:trPr>
        <w:tc>
          <w:tcPr>
            <w:tcW w:w="4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ind w:right="534"/>
              <w:spacing w:after="0"/>
              <w:rPr>
                <w:sz w:val="20"/>
                <w:szCs w:val="20"/>
                <w:color w:val="auto"/>
              </w:rPr>
            </w:pPr>
            <w:r>
              <w:rPr>
                <w:rFonts w:ascii="Arial" w:cs="Arial" w:eastAsia="Arial" w:hAnsi="Arial"/>
                <w:sz w:val="18"/>
                <w:szCs w:val="18"/>
                <w:color w:val="auto"/>
              </w:rPr>
              <w:t>52</w:t>
            </w: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40" w:type="dxa"/>
            <w:vAlign w:val="bottom"/>
          </w:tcPr>
          <w:p>
            <w:pPr>
              <w:spacing w:after="0"/>
              <w:rPr>
                <w:sz w:val="14"/>
                <w:szCs w:val="14"/>
                <w:color w:val="auto"/>
              </w:rPr>
            </w:pPr>
          </w:p>
        </w:tc>
      </w:tr>
      <w:tr>
        <w:trPr>
          <w:trHeight w:val="188"/>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color w:val="auto"/>
              </w:rPr>
              <w:t>June 30</w:t>
            </w:r>
          </w:p>
        </w:tc>
        <w:tc>
          <w:tcPr>
            <w:tcW w:w="94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color w:val="auto"/>
              </w:rPr>
              <w:t>2018</w:t>
            </w:r>
          </w:p>
        </w:tc>
        <w:tc>
          <w:tcPr>
            <w:tcW w:w="6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0"/>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2,771</w:t>
            </w: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2,566</w:t>
            </w:r>
          </w:p>
        </w:tc>
      </w:tr>
      <w:tr>
        <w:trPr>
          <w:trHeight w:val="270"/>
        </w:trPr>
        <w:tc>
          <w:tcPr>
            <w:tcW w:w="834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1,063</w:t>
            </w:r>
          </w:p>
        </w:tc>
        <w:tc>
          <w:tcPr>
            <w:tcW w:w="60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1,028</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Net (gain) loss on investment activity and other</w:t>
            </w:r>
          </w:p>
        </w:tc>
        <w:tc>
          <w:tcPr>
            <w:tcW w:w="36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232</w:t>
            </w:r>
          </w:p>
        </w:tc>
        <w:tc>
          <w:tcPr>
            <w:tcW w:w="60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73</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19</w:t>
            </w:r>
          </w:p>
        </w:tc>
      </w:tr>
      <w:tr>
        <w:trPr>
          <w:trHeight w:val="270"/>
        </w:trPr>
        <w:tc>
          <w:tcPr>
            <w:tcW w:w="834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Current and noncurrent receivables, net</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w:t>
            </w:r>
          </w:p>
        </w:tc>
        <w:tc>
          <w:tcPr>
            <w:tcW w:w="6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Film and television costs, net</w:t>
            </w:r>
          </w:p>
        </w:tc>
        <w:tc>
          <w:tcPr>
            <w:tcW w:w="36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77</w:t>
            </w:r>
          </w:p>
        </w:tc>
        <w:tc>
          <w:tcPr>
            <w:tcW w:w="60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275</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(169)</w:t>
            </w:r>
          </w:p>
        </w:tc>
        <w:tc>
          <w:tcPr>
            <w:tcW w:w="6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Other operating assets and liabilities</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(497)</w:t>
            </w:r>
          </w:p>
        </w:tc>
        <w:tc>
          <w:tcPr>
            <w:tcW w:w="6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Pr>
          <w:p>
            <w:pPr>
              <w:spacing w:after="0"/>
              <w:rPr>
                <w:sz w:val="20"/>
                <w:szCs w:val="20"/>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auto"/>
              </w:rPr>
              <w:t>3,435</w:t>
            </w:r>
          </w:p>
        </w:tc>
        <w:tc>
          <w:tcPr>
            <w:tcW w:w="6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3,526</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(730)</w:t>
            </w:r>
          </w:p>
        </w:tc>
        <w:tc>
          <w:tcPr>
            <w:tcW w:w="6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(623)</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Cash paid for intangible assets</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(296)</w:t>
            </w:r>
          </w:p>
        </w:tc>
        <w:tc>
          <w:tcPr>
            <w:tcW w:w="6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Construction of Universal Beijing Resort</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w:t>
            </w:r>
          </w:p>
        </w:tc>
        <w:tc>
          <w:tcPr>
            <w:tcW w:w="6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Purchases of investments</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(288)</w:t>
            </w:r>
          </w:p>
        </w:tc>
        <w:tc>
          <w:tcPr>
            <w:tcW w:w="6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w:t>
            </w:r>
          </w:p>
        </w:tc>
        <w:tc>
          <w:tcPr>
            <w:tcW w:w="60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52</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(1,486)</w:t>
            </w:r>
          </w:p>
        </w:tc>
        <w:tc>
          <w:tcPr>
            <w:tcW w:w="6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(981)</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borrowings</w:t>
            </w:r>
          </w:p>
        </w:tc>
        <w:tc>
          <w:tcPr>
            <w:tcW w:w="36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245</w:t>
            </w:r>
          </w:p>
        </w:tc>
        <w:tc>
          <w:tcPr>
            <w:tcW w:w="60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3,948</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Repurchases and repayments of debt</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(332)</w:t>
            </w:r>
          </w:p>
        </w:tc>
        <w:tc>
          <w:tcPr>
            <w:tcW w:w="6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(3,402)</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(repayments of) borrowings from Comcast, net</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(1,692)</w:t>
            </w:r>
          </w:p>
        </w:tc>
        <w:tc>
          <w:tcPr>
            <w:tcW w:w="60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278</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Distributions to member</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(990)</w:t>
            </w:r>
          </w:p>
        </w:tc>
        <w:tc>
          <w:tcPr>
            <w:tcW w:w="6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(1,141)</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Distributions to noncontrolling interests</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w:t>
            </w:r>
          </w:p>
        </w:tc>
        <w:tc>
          <w:tcPr>
            <w:tcW w:w="6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Purchase of Universal Studios Japan noncontrolling interests</w:t>
            </w:r>
          </w:p>
        </w:tc>
        <w:tc>
          <w:tcPr>
            <w:tcW w:w="36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(2,299)</w:t>
            </w:r>
          </w:p>
        </w:tc>
      </w:tr>
      <w:tr>
        <w:trPr>
          <w:trHeight w:val="270"/>
        </w:trPr>
        <w:tc>
          <w:tcPr>
            <w:tcW w:w="83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w:t>
            </w:r>
          </w:p>
        </w:tc>
        <w:tc>
          <w:tcPr>
            <w:tcW w:w="60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66</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(3,012)</w:t>
            </w:r>
          </w:p>
        </w:tc>
        <w:tc>
          <w:tcPr>
            <w:tcW w:w="6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(2,666)</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Increase (decrease) in cash, cash equivalents and restricted cash</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(1,063)</w:t>
            </w:r>
          </w:p>
        </w:tc>
        <w:tc>
          <w:tcPr>
            <w:tcW w:w="6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70"/>
        </w:trPr>
        <w:tc>
          <w:tcPr>
            <w:tcW w:w="834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beginning of period</w:t>
            </w:r>
          </w:p>
        </w:tc>
        <w:tc>
          <w:tcPr>
            <w:tcW w:w="36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2,377</w:t>
            </w:r>
          </w:p>
        </w:tc>
        <w:tc>
          <w:tcPr>
            <w:tcW w:w="60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1,987</w:t>
            </w:r>
          </w:p>
        </w:tc>
      </w:tr>
      <w:tr>
        <w:trPr>
          <w:trHeight w:val="27"/>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auto"/>
              </w:rPr>
              <w:t>1,314</w:t>
            </w:r>
          </w:p>
        </w:tc>
        <w:tc>
          <w:tcPr>
            <w:tcW w:w="60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1,866</w:t>
            </w:r>
          </w:p>
        </w:tc>
      </w:tr>
      <w:tr>
        <w:trPr>
          <w:trHeight w:val="34"/>
        </w:trPr>
        <w:tc>
          <w:tcPr>
            <w:tcW w:w="8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1"/>
        </w:trPr>
        <w:tc>
          <w:tcPr>
            <w:tcW w:w="834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957"/>
        </w:trPr>
        <w:tc>
          <w:tcPr>
            <w:tcW w:w="8340" w:type="dxa"/>
            <w:vAlign w:val="bottom"/>
          </w:tcPr>
          <w:p>
            <w:pPr>
              <w:ind w:left="5620"/>
              <w:spacing w:after="0"/>
              <w:rPr>
                <w:sz w:val="20"/>
                <w:szCs w:val="20"/>
                <w:color w:val="auto"/>
              </w:rPr>
            </w:pPr>
            <w:r>
              <w:rPr>
                <w:rFonts w:ascii="Arial" w:cs="Arial" w:eastAsia="Arial" w:hAnsi="Arial"/>
                <w:sz w:val="18"/>
                <w:szCs w:val="18"/>
                <w:color w:val="auto"/>
              </w:rPr>
              <w:t>53</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tcPr>
          <w:p>
            <w:pPr>
              <w:jc w:val="right"/>
              <w:ind w:right="511"/>
              <w:spacing w:after="0"/>
              <w:rPr>
                <w:sz w:val="20"/>
                <w:szCs w:val="20"/>
                <w:color w:val="auto"/>
              </w:rPr>
            </w:pPr>
            <w:r>
              <w:rPr>
                <w:rFonts w:ascii="Arial" w:cs="Arial" w:eastAsia="Arial" w:hAnsi="Arial"/>
                <w:sz w:val="14"/>
                <w:szCs w:val="14"/>
                <w:color w:val="auto"/>
              </w:rPr>
              <w:t>June 30,</w:t>
            </w:r>
          </w:p>
        </w:tc>
        <w:tc>
          <w:tcPr>
            <w:tcW w:w="360" w:type="dxa"/>
            <w:vAlign w:val="bottom"/>
          </w:tcPr>
          <w:p>
            <w:pPr>
              <w:spacing w:after="0"/>
              <w:rPr>
                <w:sz w:val="14"/>
                <w:szCs w:val="14"/>
                <w:color w:val="auto"/>
              </w:rPr>
            </w:pPr>
          </w:p>
        </w:tc>
        <w:tc>
          <w:tcPr>
            <w:tcW w:w="1260" w:type="dxa"/>
            <w:vAlign w:val="bottom"/>
          </w:tcPr>
          <w:p>
            <w:pPr>
              <w:jc w:val="right"/>
              <w:ind w:right="271"/>
              <w:spacing w:after="0"/>
              <w:rPr>
                <w:sz w:val="20"/>
                <w:szCs w:val="20"/>
                <w:color w:val="auto"/>
              </w:rPr>
            </w:pPr>
            <w:r>
              <w:rPr>
                <w:rFonts w:ascii="Arial" w:cs="Arial" w:eastAsia="Arial" w:hAnsi="Arial"/>
                <w:sz w:val="14"/>
                <w:szCs w:val="14"/>
                <w:color w:val="auto"/>
              </w:rPr>
              <w:t>December 31,</w:t>
            </w:r>
          </w:p>
        </w:tc>
      </w:tr>
      <w:tr>
        <w:trPr>
          <w:trHeight w:val="188"/>
        </w:trPr>
        <w:tc>
          <w:tcPr>
            <w:tcW w:w="7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5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color w:val="auto"/>
              </w:rPr>
              <w:t>2018</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2017</w:t>
            </w: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5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5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1,283</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2,347</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7,002</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6,967</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Programming rights</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1,207</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1,606</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1,092</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1,037</w:t>
            </w:r>
          </w:p>
        </w:tc>
      </w:tr>
      <w:tr>
        <w:trPr>
          <w:trHeight w:val="27"/>
        </w:trPr>
        <w:tc>
          <w:tcPr>
            <w:tcW w:w="7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1500" w:type="dxa"/>
            <w:vAlign w:val="bottom"/>
          </w:tcPr>
          <w:p>
            <w:pPr>
              <w:spacing w:after="0"/>
              <w:rPr>
                <w:sz w:val="20"/>
                <w:szCs w:val="20"/>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10,584</w:t>
            </w:r>
          </w:p>
        </w:tc>
        <w:tc>
          <w:tcPr>
            <w:tcW w:w="36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11,957</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7,401</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7,082</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1,816</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1,816</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Property and equipment, net of accumulated depreciation of $4,618 and $4,166</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12,180</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11,346</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Goodwill</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24,087</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23,989</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Intangible assets, net of accumulated amortization of $8,157 and $7,585</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14,036</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13,306</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1,781</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1,804</w:t>
            </w:r>
          </w:p>
        </w:tc>
      </w:tr>
      <w:tr>
        <w:trPr>
          <w:trHeight w:val="27"/>
        </w:trPr>
        <w:tc>
          <w:tcPr>
            <w:tcW w:w="7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15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91"/>
              <w:spacing w:after="0"/>
              <w:rPr>
                <w:sz w:val="20"/>
                <w:szCs w:val="20"/>
                <w:color w:val="auto"/>
              </w:rPr>
            </w:pPr>
            <w:r>
              <w:rPr>
                <w:rFonts w:ascii="Arial" w:cs="Arial" w:eastAsia="Arial" w:hAnsi="Arial"/>
                <w:sz w:val="18"/>
                <w:szCs w:val="18"/>
                <w:b w:val="1"/>
                <w:bCs w:val="1"/>
                <w:color w:val="auto"/>
              </w:rPr>
              <w:t>71,885</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b w:val="1"/>
                <w:bCs w:val="1"/>
                <w:color w:val="auto"/>
              </w:rPr>
              <w:t>71,300</w:t>
            </w:r>
          </w:p>
        </w:tc>
      </w:tr>
      <w:tr>
        <w:trPr>
          <w:trHeight w:val="34"/>
        </w:trPr>
        <w:tc>
          <w:tcPr>
            <w:tcW w:w="7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5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5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1,567</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1,663</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Accrued participations and residuals</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1,731</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1,644</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Program obligations</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601</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745</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1,434</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1,457</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1,823</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2,394</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Note payable to Comcast</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139</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1,831</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Current portion of long-term debt</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188</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198</w:t>
            </w:r>
          </w:p>
        </w:tc>
      </w:tr>
      <w:tr>
        <w:trPr>
          <w:trHeight w:val="27"/>
        </w:trPr>
        <w:tc>
          <w:tcPr>
            <w:tcW w:w="7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1500" w:type="dxa"/>
            <w:vAlign w:val="bottom"/>
          </w:tcPr>
          <w:p>
            <w:pPr>
              <w:spacing w:after="0"/>
              <w:rPr>
                <w:sz w:val="20"/>
                <w:szCs w:val="20"/>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7,483</w:t>
            </w:r>
          </w:p>
        </w:tc>
        <w:tc>
          <w:tcPr>
            <w:tcW w:w="36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9,932</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12,287</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12,275</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Accrued participations, residuals and program obligations</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1,501</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1,490</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5,138</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4,153</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15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Redeemable noncontrolling interests</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391</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409</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Equity:</w:t>
            </w:r>
          </w:p>
        </w:tc>
        <w:tc>
          <w:tcPr>
            <w:tcW w:w="15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Member’s capital</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43,777</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42,148</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218</w:t>
            </w:r>
          </w:p>
        </w:tc>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7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color w:val="auto"/>
              </w:rPr>
              <w:t>Total NBCUniversal member’s equity</w:t>
            </w:r>
          </w:p>
        </w:tc>
        <w:tc>
          <w:tcPr>
            <w:tcW w:w="1500" w:type="dxa"/>
            <w:vAlign w:val="bottom"/>
          </w:tcPr>
          <w:p>
            <w:pPr>
              <w:spacing w:after="0"/>
              <w:rPr>
                <w:sz w:val="20"/>
                <w:szCs w:val="20"/>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43,995</w:t>
            </w:r>
          </w:p>
        </w:tc>
        <w:tc>
          <w:tcPr>
            <w:tcW w:w="36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42,128</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1,090</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913</w:t>
            </w:r>
          </w:p>
        </w:tc>
      </w:tr>
      <w:tr>
        <w:trPr>
          <w:trHeight w:val="27"/>
        </w:trPr>
        <w:tc>
          <w:tcPr>
            <w:tcW w:w="7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1500" w:type="dxa"/>
            <w:vAlign w:val="bottom"/>
          </w:tcPr>
          <w:p>
            <w:pPr>
              <w:spacing w:after="0"/>
              <w:rPr>
                <w:sz w:val="20"/>
                <w:szCs w:val="20"/>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45,085</w:t>
            </w:r>
          </w:p>
        </w:tc>
        <w:tc>
          <w:tcPr>
            <w:tcW w:w="36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43,041</w:t>
            </w:r>
          </w:p>
        </w:tc>
      </w:tr>
      <w:tr>
        <w:trPr>
          <w:trHeight w:val="27"/>
        </w:trPr>
        <w:tc>
          <w:tcPr>
            <w:tcW w:w="7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5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91"/>
              <w:spacing w:after="0"/>
              <w:rPr>
                <w:sz w:val="20"/>
                <w:szCs w:val="20"/>
                <w:color w:val="auto"/>
              </w:rPr>
            </w:pPr>
            <w:r>
              <w:rPr>
                <w:rFonts w:ascii="Arial" w:cs="Arial" w:eastAsia="Arial" w:hAnsi="Arial"/>
                <w:sz w:val="18"/>
                <w:szCs w:val="18"/>
                <w:b w:val="1"/>
                <w:bCs w:val="1"/>
                <w:color w:val="auto"/>
              </w:rPr>
              <w:t>71,885</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b w:val="1"/>
                <w:bCs w:val="1"/>
                <w:color w:val="auto"/>
              </w:rPr>
              <w:t>71,300</w:t>
            </w:r>
          </w:p>
        </w:tc>
      </w:tr>
      <w:tr>
        <w:trPr>
          <w:trHeight w:val="34"/>
        </w:trPr>
        <w:tc>
          <w:tcPr>
            <w:tcW w:w="7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1"/>
        </w:trPr>
        <w:tc>
          <w:tcPr>
            <w:tcW w:w="704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1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539"/>
        </w:trPr>
        <w:tc>
          <w:tcPr>
            <w:tcW w:w="7040" w:type="dxa"/>
            <w:vAlign w:val="bottom"/>
          </w:tcPr>
          <w:p>
            <w:pPr>
              <w:ind w:left="5620"/>
              <w:spacing w:after="0"/>
              <w:rPr>
                <w:sz w:val="20"/>
                <w:szCs w:val="20"/>
                <w:color w:val="auto"/>
              </w:rPr>
            </w:pPr>
            <w:r>
              <w:rPr>
                <w:rFonts w:ascii="Arial" w:cs="Arial" w:eastAsia="Arial" w:hAnsi="Arial"/>
                <w:sz w:val="18"/>
                <w:szCs w:val="18"/>
                <w:color w:val="auto"/>
              </w:rPr>
              <w:t>54</w:t>
            </w: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jc w:val="center"/>
              <w:ind w:right="216"/>
              <w:spacing w:after="0"/>
              <w:rPr>
                <w:sz w:val="20"/>
                <w:szCs w:val="20"/>
                <w:color w:val="auto"/>
              </w:rPr>
            </w:pPr>
            <w:r>
              <w:rPr>
                <w:rFonts w:ascii="Arial" w:cs="Arial" w:eastAsia="Arial" w:hAnsi="Arial"/>
                <w:sz w:val="14"/>
                <w:szCs w:val="14"/>
                <w:color w:val="auto"/>
                <w:w w:val="96"/>
              </w:rPr>
              <w:t>Accumulated</w:t>
            </w: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49"/>
        </w:trPr>
        <w:tc>
          <w:tcPr>
            <w:tcW w:w="2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tcBorders>
              <w:right w:val="single" w:sz="8" w:color="auto"/>
            </w:tcBorders>
          </w:tcPr>
          <w:p>
            <w:pPr>
              <w:jc w:val="center"/>
              <w:ind w:right="154"/>
              <w:spacing w:after="0" w:line="149" w:lineRule="exact"/>
              <w:rPr>
                <w:sz w:val="20"/>
                <w:szCs w:val="20"/>
                <w:color w:val="auto"/>
              </w:rPr>
            </w:pPr>
            <w:r>
              <w:rPr>
                <w:rFonts w:ascii="Arial" w:cs="Arial" w:eastAsia="Arial" w:hAnsi="Arial"/>
                <w:sz w:val="14"/>
                <w:szCs w:val="14"/>
                <w:color w:val="auto"/>
                <w:w w:val="90"/>
              </w:rPr>
              <w:t>Redeemable</w:t>
            </w:r>
          </w:p>
        </w:tc>
        <w:tc>
          <w:tcPr>
            <w:tcW w:w="5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tcPr>
          <w:p>
            <w:pPr>
              <w:jc w:val="center"/>
              <w:ind w:right="216"/>
              <w:spacing w:after="0" w:line="149" w:lineRule="exact"/>
              <w:rPr>
                <w:sz w:val="20"/>
                <w:szCs w:val="20"/>
                <w:color w:val="auto"/>
              </w:rPr>
            </w:pPr>
            <w:r>
              <w:rPr>
                <w:rFonts w:ascii="Arial" w:cs="Arial" w:eastAsia="Arial" w:hAnsi="Arial"/>
                <w:sz w:val="14"/>
                <w:szCs w:val="14"/>
                <w:color w:val="auto"/>
                <w:w w:val="96"/>
              </w:rPr>
              <w:t>Other</w:t>
            </w:r>
          </w:p>
        </w:tc>
        <w:tc>
          <w:tcPr>
            <w:tcW w:w="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9"/>
        </w:trPr>
        <w:tc>
          <w:tcPr>
            <w:tcW w:w="2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tcBorders>
              <w:right w:val="single" w:sz="8" w:color="auto"/>
            </w:tcBorders>
          </w:tcPr>
          <w:p>
            <w:pPr>
              <w:jc w:val="center"/>
              <w:ind w:right="154"/>
              <w:spacing w:after="0" w:line="149" w:lineRule="exact"/>
              <w:rPr>
                <w:sz w:val="20"/>
                <w:szCs w:val="20"/>
                <w:color w:val="auto"/>
              </w:rPr>
            </w:pPr>
            <w:r>
              <w:rPr>
                <w:rFonts w:ascii="Arial" w:cs="Arial" w:eastAsia="Arial" w:hAnsi="Arial"/>
                <w:sz w:val="14"/>
                <w:szCs w:val="14"/>
                <w:color w:val="auto"/>
                <w:w w:val="98"/>
              </w:rPr>
              <w:t>Noncontrolling</w:t>
            </w:r>
          </w:p>
        </w:tc>
        <w:tc>
          <w:tcPr>
            <w:tcW w:w="500" w:type="dxa"/>
            <w:vAlign w:val="bottom"/>
          </w:tcPr>
          <w:p>
            <w:pPr>
              <w:spacing w:after="0"/>
              <w:rPr>
                <w:sz w:val="12"/>
                <w:szCs w:val="12"/>
                <w:color w:val="auto"/>
              </w:rPr>
            </w:pPr>
          </w:p>
        </w:tc>
        <w:tc>
          <w:tcPr>
            <w:tcW w:w="13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Member’s</w:t>
            </w:r>
          </w:p>
        </w:tc>
        <w:tc>
          <w:tcPr>
            <w:tcW w:w="340" w:type="dxa"/>
            <w:vAlign w:val="bottom"/>
          </w:tcPr>
          <w:p>
            <w:pPr>
              <w:spacing w:after="0"/>
              <w:rPr>
                <w:sz w:val="12"/>
                <w:szCs w:val="12"/>
                <w:color w:val="auto"/>
              </w:rPr>
            </w:pPr>
          </w:p>
        </w:tc>
        <w:tc>
          <w:tcPr>
            <w:tcW w:w="1360" w:type="dxa"/>
            <w:vAlign w:val="bottom"/>
          </w:tcPr>
          <w:p>
            <w:pPr>
              <w:jc w:val="center"/>
              <w:ind w:right="216"/>
              <w:spacing w:after="0" w:line="149" w:lineRule="exact"/>
              <w:rPr>
                <w:sz w:val="20"/>
                <w:szCs w:val="20"/>
                <w:color w:val="auto"/>
              </w:rPr>
            </w:pPr>
            <w:r>
              <w:rPr>
                <w:rFonts w:ascii="Arial" w:cs="Arial" w:eastAsia="Arial" w:hAnsi="Arial"/>
                <w:sz w:val="14"/>
                <w:szCs w:val="14"/>
                <w:color w:val="auto"/>
                <w:w w:val="91"/>
              </w:rPr>
              <w:t>Comprehensive</w:t>
            </w:r>
          </w:p>
        </w:tc>
        <w:tc>
          <w:tcPr>
            <w:tcW w:w="320" w:type="dxa"/>
            <w:vAlign w:val="bottom"/>
          </w:tcPr>
          <w:p>
            <w:pPr>
              <w:spacing w:after="0"/>
              <w:rPr>
                <w:sz w:val="12"/>
                <w:szCs w:val="12"/>
                <w:color w:val="auto"/>
              </w:rPr>
            </w:pPr>
          </w:p>
        </w:tc>
        <w:tc>
          <w:tcPr>
            <w:tcW w:w="13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Noncontrolling</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88"/>
        </w:trPr>
        <w:tc>
          <w:tcPr>
            <w:tcW w:w="2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jc w:val="center"/>
              <w:ind w:right="154"/>
              <w:spacing w:after="0"/>
              <w:rPr>
                <w:sz w:val="20"/>
                <w:szCs w:val="20"/>
                <w:color w:val="auto"/>
              </w:rPr>
            </w:pPr>
            <w:r>
              <w:rPr>
                <w:rFonts w:ascii="Arial" w:cs="Arial" w:eastAsia="Arial" w:hAnsi="Arial"/>
                <w:sz w:val="14"/>
                <w:szCs w:val="14"/>
                <w:color w:val="auto"/>
                <w:w w:val="89"/>
              </w:rPr>
              <w:t>Interests</w:t>
            </w:r>
          </w:p>
        </w:tc>
        <w:tc>
          <w:tcPr>
            <w:tcW w:w="5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color w:val="auto"/>
              </w:rPr>
              <w:t>Capital</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color w:val="auto"/>
                <w:w w:val="92"/>
              </w:rPr>
              <w:t>Income (Loss)</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rPr>
              <w:t>Interests</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Total Equity</w:t>
            </w:r>
          </w:p>
        </w:tc>
      </w:tr>
      <w:tr>
        <w:trPr>
          <w:trHeight w:val="243"/>
        </w:trPr>
        <w:tc>
          <w:tcPr>
            <w:tcW w:w="2900" w:type="dxa"/>
            <w:vAlign w:val="bottom"/>
          </w:tcPr>
          <w:p>
            <w:pPr>
              <w:ind w:left="40"/>
              <w:spacing w:after="0"/>
              <w:rPr>
                <w:sz w:val="20"/>
                <w:szCs w:val="20"/>
                <w:color w:val="auto"/>
              </w:rPr>
            </w:pPr>
            <w:r>
              <w:rPr>
                <w:rFonts w:ascii="Arial" w:cs="Arial" w:eastAsia="Arial" w:hAnsi="Arial"/>
                <w:sz w:val="18"/>
                <w:szCs w:val="18"/>
                <w:color w:val="auto"/>
              </w:rPr>
              <w:t>Balance, December 31, 2016</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tcPr>
          <w:p>
            <w:pPr>
              <w:jc w:val="right"/>
              <w:ind w:right="54"/>
              <w:spacing w:after="0"/>
              <w:rPr>
                <w:sz w:val="20"/>
                <w:szCs w:val="20"/>
                <w:color w:val="auto"/>
              </w:rPr>
            </w:pPr>
            <w:r>
              <w:rPr>
                <w:rFonts w:ascii="Arial" w:cs="Arial" w:eastAsia="Arial" w:hAnsi="Arial"/>
                <w:sz w:val="18"/>
                <w:szCs w:val="18"/>
                <w:color w:val="auto"/>
              </w:rPr>
              <w:t>530</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38,894</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6"/>
              <w:spacing w:after="0"/>
              <w:rPr>
                <w:sz w:val="20"/>
                <w:szCs w:val="20"/>
                <w:color w:val="auto"/>
              </w:rPr>
            </w:pPr>
            <w:r>
              <w:rPr>
                <w:rFonts w:ascii="Arial" w:cs="Arial" w:eastAsia="Arial" w:hAnsi="Arial"/>
                <w:sz w:val="18"/>
                <w:szCs w:val="18"/>
                <w:color w:val="auto"/>
              </w:rPr>
              <w:t>(135)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2,116</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40,875</w:t>
            </w:r>
          </w:p>
        </w:tc>
      </w:tr>
      <w:tr>
        <w:trPr>
          <w:trHeight w:val="270"/>
        </w:trPr>
        <w:tc>
          <w:tcPr>
            <w:tcW w:w="2900" w:type="dxa"/>
            <w:vAlign w:val="bottom"/>
          </w:tcPr>
          <w:p>
            <w:pPr>
              <w:ind w:left="40"/>
              <w:spacing w:after="0"/>
              <w:rPr>
                <w:sz w:val="20"/>
                <w:szCs w:val="20"/>
                <w:color w:val="auto"/>
              </w:rPr>
            </w:pPr>
            <w:r>
              <w:rPr>
                <w:rFonts w:ascii="Arial" w:cs="Arial" w:eastAsia="Arial" w:hAnsi="Arial"/>
                <w:sz w:val="18"/>
                <w:szCs w:val="18"/>
                <w:color w:val="auto"/>
              </w:rPr>
              <w:t>Dividends declared</w:t>
            </w:r>
          </w:p>
        </w:tc>
        <w:tc>
          <w:tcPr>
            <w:tcW w:w="420" w:type="dxa"/>
            <w:vAlign w:val="bottom"/>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(1,141)</w:t>
            </w: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(1,141)</w:t>
            </w:r>
          </w:p>
        </w:tc>
      </w:tr>
      <w:tr>
        <w:trPr>
          <w:trHeight w:val="256"/>
        </w:trPr>
        <w:tc>
          <w:tcPr>
            <w:tcW w:w="2900" w:type="dxa"/>
            <w:vAlign w:val="bottom"/>
          </w:tcPr>
          <w:p>
            <w:pPr>
              <w:ind w:left="40"/>
              <w:spacing w:after="0"/>
              <w:rPr>
                <w:sz w:val="20"/>
                <w:szCs w:val="20"/>
                <w:color w:val="auto"/>
              </w:rPr>
            </w:pPr>
            <w:r>
              <w:rPr>
                <w:rFonts w:ascii="Arial" w:cs="Arial" w:eastAsia="Arial" w:hAnsi="Arial"/>
                <w:sz w:val="18"/>
                <w:szCs w:val="18"/>
                <w:color w:val="auto"/>
              </w:rPr>
              <w:t>Contributions from (distributions to)</w:t>
            </w:r>
          </w:p>
        </w:tc>
        <w:tc>
          <w:tcPr>
            <w:tcW w:w="420" w:type="dxa"/>
            <w:vAlign w:val="bottom"/>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0"/>
        </w:trPr>
        <w:tc>
          <w:tcPr>
            <w:tcW w:w="2900" w:type="dxa"/>
            <w:vAlign w:val="bottom"/>
          </w:tcPr>
          <w:p>
            <w:pPr>
              <w:ind w:left="200"/>
              <w:spacing w:after="0"/>
              <w:rPr>
                <w:sz w:val="20"/>
                <w:szCs w:val="20"/>
                <w:color w:val="auto"/>
              </w:rPr>
            </w:pPr>
            <w:r>
              <w:rPr>
                <w:rFonts w:ascii="Arial" w:cs="Arial" w:eastAsia="Arial" w:hAnsi="Arial"/>
                <w:sz w:val="18"/>
                <w:szCs w:val="18"/>
                <w:color w:val="auto"/>
              </w:rPr>
              <w:t>noncontrolling interests, net</w:t>
            </w:r>
          </w:p>
        </w:tc>
        <w:tc>
          <w:tcPr>
            <w:tcW w:w="420" w:type="dxa"/>
            <w:vAlign w:val="bottom"/>
          </w:tcPr>
          <w:p>
            <w:pPr>
              <w:spacing w:after="0"/>
              <w:rPr>
                <w:sz w:val="20"/>
                <w:szCs w:val="20"/>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5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(55)</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0"/>
        </w:trPr>
        <w:tc>
          <w:tcPr>
            <w:tcW w:w="2900" w:type="dxa"/>
            <w:vAlign w:val="bottom"/>
          </w:tcPr>
          <w:p>
            <w:pPr>
              <w:ind w:left="40"/>
              <w:spacing w:after="0"/>
              <w:rPr>
                <w:sz w:val="20"/>
                <w:szCs w:val="20"/>
                <w:color w:val="auto"/>
              </w:rPr>
            </w:pPr>
            <w:r>
              <w:rPr>
                <w:rFonts w:ascii="Arial" w:cs="Arial" w:eastAsia="Arial" w:hAnsi="Arial"/>
                <w:sz w:val="18"/>
                <w:szCs w:val="18"/>
                <w:color w:val="auto"/>
              </w:rPr>
              <w:t>Contribution from member</w:t>
            </w:r>
          </w:p>
        </w:tc>
        <w:tc>
          <w:tcPr>
            <w:tcW w:w="420" w:type="dxa"/>
            <w:vAlign w:val="bottom"/>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662</w:t>
            </w: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662</w:t>
            </w:r>
          </w:p>
        </w:tc>
      </w:tr>
      <w:tr>
        <w:trPr>
          <w:trHeight w:val="270"/>
        </w:trPr>
        <w:tc>
          <w:tcPr>
            <w:tcW w:w="2900" w:type="dxa"/>
            <w:vAlign w:val="bottom"/>
          </w:tcPr>
          <w:p>
            <w:pPr>
              <w:ind w:left="40"/>
              <w:spacing w:after="0"/>
              <w:rPr>
                <w:sz w:val="20"/>
                <w:szCs w:val="20"/>
                <w:color w:val="auto"/>
              </w:rPr>
            </w:pPr>
            <w:r>
              <w:rPr>
                <w:rFonts w:ascii="Arial" w:cs="Arial" w:eastAsia="Arial" w:hAnsi="Arial"/>
                <w:sz w:val="18"/>
                <w:szCs w:val="18"/>
                <w:color w:val="auto"/>
                <w:w w:val="99"/>
              </w:rPr>
              <w:t>Other comprehensive income (loss)</w:t>
            </w:r>
          </w:p>
        </w:tc>
        <w:tc>
          <w:tcPr>
            <w:tcW w:w="420" w:type="dxa"/>
            <w:vAlign w:val="bottom"/>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60" w:type="dxa"/>
            <w:vAlign w:val="bottom"/>
          </w:tcPr>
          <w:p>
            <w:pPr>
              <w:jc w:val="right"/>
              <w:ind w:right="116"/>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23"/>
                <w:szCs w:val="23"/>
                <w:color w:val="auto"/>
              </w:rPr>
            </w:pP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82</w:t>
            </w: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132</w:t>
            </w:r>
          </w:p>
        </w:tc>
      </w:tr>
      <w:tr>
        <w:trPr>
          <w:trHeight w:val="256"/>
        </w:trPr>
        <w:tc>
          <w:tcPr>
            <w:tcW w:w="2900" w:type="dxa"/>
            <w:vAlign w:val="bottom"/>
          </w:tcPr>
          <w:p>
            <w:pPr>
              <w:ind w:left="40"/>
              <w:spacing w:after="0"/>
              <w:rPr>
                <w:sz w:val="20"/>
                <w:szCs w:val="20"/>
                <w:color w:val="auto"/>
              </w:rPr>
            </w:pPr>
            <w:r>
              <w:rPr>
                <w:rFonts w:ascii="Arial" w:cs="Arial" w:eastAsia="Arial" w:hAnsi="Arial"/>
                <w:sz w:val="18"/>
                <w:szCs w:val="18"/>
                <w:color w:val="auto"/>
                <w:w w:val="96"/>
              </w:rPr>
              <w:t>Purchase of Universal Studios Japan</w:t>
            </w:r>
          </w:p>
        </w:tc>
        <w:tc>
          <w:tcPr>
            <w:tcW w:w="420" w:type="dxa"/>
            <w:vAlign w:val="bottom"/>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0"/>
        </w:trPr>
        <w:tc>
          <w:tcPr>
            <w:tcW w:w="290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420" w:type="dxa"/>
            <w:vAlign w:val="bottom"/>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(704)</w:t>
            </w:r>
          </w:p>
        </w:tc>
        <w:tc>
          <w:tcPr>
            <w:tcW w:w="340" w:type="dxa"/>
            <w:vAlign w:val="bottom"/>
          </w:tcPr>
          <w:p>
            <w:pPr>
              <w:spacing w:after="0"/>
              <w:rPr>
                <w:sz w:val="20"/>
                <w:szCs w:val="20"/>
                <w:color w:val="auto"/>
              </w:rPr>
            </w:pPr>
          </w:p>
        </w:tc>
        <w:tc>
          <w:tcPr>
            <w:tcW w:w="1360" w:type="dxa"/>
            <w:vAlign w:val="bottom"/>
          </w:tcPr>
          <w:p>
            <w:pPr>
              <w:jc w:val="right"/>
              <w:ind w:right="116"/>
              <w:spacing w:after="0"/>
              <w:rPr>
                <w:sz w:val="20"/>
                <w:szCs w:val="20"/>
                <w:color w:val="auto"/>
              </w:rPr>
            </w:pPr>
            <w:r>
              <w:rPr>
                <w:rFonts w:ascii="Arial" w:cs="Arial" w:eastAsia="Arial" w:hAnsi="Arial"/>
                <w:sz w:val="18"/>
                <w:szCs w:val="18"/>
                <w:color w:val="auto"/>
              </w:rPr>
              <w:t>141</w:t>
            </w:r>
          </w:p>
        </w:tc>
        <w:tc>
          <w:tcPr>
            <w:tcW w:w="320" w:type="dxa"/>
            <w:vAlign w:val="bottom"/>
          </w:tcPr>
          <w:p>
            <w:pPr>
              <w:spacing w:after="0"/>
              <w:rPr>
                <w:sz w:val="20"/>
                <w:szCs w:val="20"/>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(1,736)</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(2,299)</w:t>
            </w:r>
          </w:p>
        </w:tc>
      </w:tr>
      <w:tr>
        <w:trPr>
          <w:trHeight w:val="270"/>
        </w:trPr>
        <w:tc>
          <w:tcPr>
            <w:tcW w:w="2900" w:type="dxa"/>
            <w:vAlign w:val="bottom"/>
          </w:tcPr>
          <w:p>
            <w:pPr>
              <w:ind w:left="4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3"/>
                <w:szCs w:val="23"/>
                <w:color w:val="auto"/>
              </w:rPr>
            </w:pPr>
          </w:p>
        </w:tc>
        <w:tc>
          <w:tcPr>
            <w:tcW w:w="1320" w:type="dxa"/>
            <w:vAlign w:val="bottom"/>
            <w:tcBorders>
              <w:right w:val="single" w:sz="8" w:color="auto"/>
            </w:tcBorders>
          </w:tcPr>
          <w:p>
            <w:pPr>
              <w:jc w:val="right"/>
              <w:ind w:right="54"/>
              <w:spacing w:after="0"/>
              <w:rPr>
                <w:sz w:val="20"/>
                <w:szCs w:val="20"/>
                <w:color w:val="auto"/>
              </w:rPr>
            </w:pPr>
            <w:r>
              <w:rPr>
                <w:rFonts w:ascii="Arial" w:cs="Arial" w:eastAsia="Arial" w:hAnsi="Arial"/>
                <w:sz w:val="18"/>
                <w:szCs w:val="18"/>
                <w:color w:val="auto"/>
              </w:rPr>
              <w:t>10</w:t>
            </w:r>
          </w:p>
        </w:tc>
        <w:tc>
          <w:tcPr>
            <w:tcW w:w="500" w:type="dxa"/>
            <w:vAlign w:val="bottom"/>
          </w:tcPr>
          <w:p>
            <w:pPr>
              <w:spacing w:after="0"/>
              <w:rPr>
                <w:sz w:val="23"/>
                <w:szCs w:val="23"/>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81</w:t>
            </w: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474</w:t>
            </w: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555</w:t>
            </w:r>
          </w:p>
        </w:tc>
      </w:tr>
      <w:tr>
        <w:trPr>
          <w:trHeight w:val="270"/>
        </w:trPr>
        <w:tc>
          <w:tcPr>
            <w:tcW w:w="29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23"/>
                <w:szCs w:val="23"/>
                <w:color w:val="auto"/>
              </w:rPr>
            </w:pPr>
          </w:p>
        </w:tc>
        <w:tc>
          <w:tcPr>
            <w:tcW w:w="1320" w:type="dxa"/>
            <w:vAlign w:val="bottom"/>
            <w:tcBorders>
              <w:right w:val="single" w:sz="8" w:color="auto"/>
            </w:tcBorders>
          </w:tcPr>
          <w:p>
            <w:pPr>
              <w:jc w:val="right"/>
              <w:ind w:right="54"/>
              <w:spacing w:after="0"/>
              <w:rPr>
                <w:sz w:val="20"/>
                <w:szCs w:val="20"/>
                <w:color w:val="auto"/>
              </w:rPr>
            </w:pPr>
            <w:r>
              <w:rPr>
                <w:rFonts w:ascii="Arial" w:cs="Arial" w:eastAsia="Arial" w:hAnsi="Arial"/>
                <w:sz w:val="18"/>
                <w:szCs w:val="18"/>
                <w:color w:val="auto"/>
              </w:rPr>
              <w:t>18</w:t>
            </w:r>
          </w:p>
        </w:tc>
        <w:tc>
          <w:tcPr>
            <w:tcW w:w="500" w:type="dxa"/>
            <w:vAlign w:val="bottom"/>
          </w:tcPr>
          <w:p>
            <w:pPr>
              <w:spacing w:after="0"/>
              <w:rPr>
                <w:sz w:val="23"/>
                <w:szCs w:val="23"/>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2,481</w:t>
            </w: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67</w:t>
            </w: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2,548</w:t>
            </w:r>
          </w:p>
        </w:tc>
      </w:tr>
      <w:tr>
        <w:trPr>
          <w:trHeight w:val="27"/>
        </w:trPr>
        <w:tc>
          <w:tcPr>
            <w:tcW w:w="2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2900" w:type="dxa"/>
            <w:vAlign w:val="bottom"/>
          </w:tcPr>
          <w:p>
            <w:pPr>
              <w:ind w:left="40"/>
              <w:spacing w:after="0"/>
              <w:rPr>
                <w:sz w:val="20"/>
                <w:szCs w:val="20"/>
                <w:color w:val="auto"/>
              </w:rPr>
            </w:pPr>
            <w:r>
              <w:rPr>
                <w:rFonts w:ascii="Arial" w:cs="Arial" w:eastAsia="Arial" w:hAnsi="Arial"/>
                <w:sz w:val="18"/>
                <w:szCs w:val="18"/>
                <w:b w:val="1"/>
                <w:bCs w:val="1"/>
                <w:color w:val="auto"/>
              </w:rPr>
              <w:t>Balance, June 30, 2017</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right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512</w:t>
            </w: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112"/>
              <w:spacing w:after="0"/>
              <w:rPr>
                <w:sz w:val="20"/>
                <w:szCs w:val="20"/>
                <w:color w:val="auto"/>
              </w:rPr>
            </w:pPr>
            <w:r>
              <w:rPr>
                <w:rFonts w:ascii="Arial" w:cs="Arial" w:eastAsia="Arial" w:hAnsi="Arial"/>
                <w:sz w:val="18"/>
                <w:szCs w:val="18"/>
                <w:b w:val="1"/>
                <w:bCs w:val="1"/>
                <w:color w:val="auto"/>
              </w:rPr>
              <w:t>40,273</w:t>
            </w:r>
          </w:p>
        </w:tc>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116"/>
              <w:spacing w:after="0"/>
              <w:rPr>
                <w:sz w:val="20"/>
                <w:szCs w:val="20"/>
                <w:color w:val="auto"/>
              </w:rPr>
            </w:pPr>
            <w:r>
              <w:rPr>
                <w:rFonts w:ascii="Arial" w:cs="Arial" w:eastAsia="Arial" w:hAnsi="Arial"/>
                <w:sz w:val="18"/>
                <w:szCs w:val="18"/>
                <w:b w:val="1"/>
                <w:bCs w:val="1"/>
                <w:color w:val="auto"/>
              </w:rPr>
              <w:t>56</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112"/>
              <w:spacing w:after="0"/>
              <w:rPr>
                <w:sz w:val="20"/>
                <w:szCs w:val="20"/>
                <w:color w:val="auto"/>
              </w:rPr>
            </w:pPr>
            <w:r>
              <w:rPr>
                <w:rFonts w:ascii="Arial" w:cs="Arial" w:eastAsia="Arial" w:hAnsi="Arial"/>
                <w:sz w:val="18"/>
                <w:szCs w:val="18"/>
                <w:b w:val="1"/>
                <w:bCs w:val="1"/>
                <w:color w:val="auto"/>
              </w:rPr>
              <w:t>948</w:t>
            </w:r>
          </w:p>
        </w:tc>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b w:val="1"/>
                <w:bCs w:val="1"/>
                <w:color w:val="auto"/>
              </w:rPr>
              <w:t>41,277</w:t>
            </w:r>
          </w:p>
        </w:tc>
      </w:tr>
      <w:tr>
        <w:trPr>
          <w:trHeight w:val="34"/>
        </w:trPr>
        <w:tc>
          <w:tcPr>
            <w:tcW w:w="2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2900" w:type="dxa"/>
            <w:vAlign w:val="bottom"/>
          </w:tcPr>
          <w:p>
            <w:pPr>
              <w:ind w:left="40"/>
              <w:spacing w:after="0"/>
              <w:rPr>
                <w:sz w:val="20"/>
                <w:szCs w:val="20"/>
                <w:color w:val="auto"/>
              </w:rPr>
            </w:pPr>
            <w:r>
              <w:rPr>
                <w:rFonts w:ascii="Arial" w:cs="Arial" w:eastAsia="Arial" w:hAnsi="Arial"/>
                <w:sz w:val="18"/>
                <w:szCs w:val="18"/>
                <w:color w:val="auto"/>
              </w:rPr>
              <w:t>Balance, December 31, 2017</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tcPr>
          <w:p>
            <w:pPr>
              <w:jc w:val="right"/>
              <w:ind w:right="54"/>
              <w:spacing w:after="0"/>
              <w:rPr>
                <w:sz w:val="20"/>
                <w:szCs w:val="20"/>
                <w:color w:val="auto"/>
              </w:rPr>
            </w:pPr>
            <w:r>
              <w:rPr>
                <w:rFonts w:ascii="Arial" w:cs="Arial" w:eastAsia="Arial" w:hAnsi="Arial"/>
                <w:sz w:val="18"/>
                <w:szCs w:val="18"/>
                <w:color w:val="auto"/>
              </w:rPr>
              <w:t>409</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42,148</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6"/>
              <w:spacing w:after="0"/>
              <w:rPr>
                <w:sz w:val="20"/>
                <w:szCs w:val="20"/>
                <w:color w:val="auto"/>
              </w:rPr>
            </w:pPr>
            <w:r>
              <w:rPr>
                <w:rFonts w:ascii="Arial" w:cs="Arial" w:eastAsia="Arial" w:hAnsi="Arial"/>
                <w:sz w:val="18"/>
                <w:szCs w:val="18"/>
                <w:color w:val="auto"/>
              </w:rPr>
              <w:t>(20)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913</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43,041</w:t>
            </w:r>
          </w:p>
        </w:tc>
      </w:tr>
      <w:tr>
        <w:trPr>
          <w:trHeight w:val="256"/>
        </w:trPr>
        <w:tc>
          <w:tcPr>
            <w:tcW w:w="2900" w:type="dxa"/>
            <w:vAlign w:val="bottom"/>
          </w:tcPr>
          <w:p>
            <w:pPr>
              <w:ind w:left="40"/>
              <w:spacing w:after="0"/>
              <w:rPr>
                <w:sz w:val="20"/>
                <w:szCs w:val="20"/>
                <w:color w:val="auto"/>
              </w:rPr>
            </w:pPr>
            <w:r>
              <w:rPr>
                <w:rFonts w:ascii="Arial" w:cs="Arial" w:eastAsia="Arial" w:hAnsi="Arial"/>
                <w:sz w:val="18"/>
                <w:szCs w:val="18"/>
                <w:color w:val="auto"/>
              </w:rPr>
              <w:t>Cumulative effects of adoption of</w:t>
            </w:r>
          </w:p>
        </w:tc>
        <w:tc>
          <w:tcPr>
            <w:tcW w:w="420" w:type="dxa"/>
            <w:vAlign w:val="bottom"/>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0"/>
        </w:trPr>
        <w:tc>
          <w:tcPr>
            <w:tcW w:w="2900" w:type="dxa"/>
            <w:vAlign w:val="bottom"/>
          </w:tcPr>
          <w:p>
            <w:pPr>
              <w:ind w:left="200"/>
              <w:spacing w:after="0"/>
              <w:rPr>
                <w:sz w:val="20"/>
                <w:szCs w:val="20"/>
                <w:color w:val="auto"/>
              </w:rPr>
            </w:pPr>
            <w:r>
              <w:rPr>
                <w:rFonts w:ascii="Arial" w:cs="Arial" w:eastAsia="Arial" w:hAnsi="Arial"/>
                <w:sz w:val="18"/>
                <w:szCs w:val="18"/>
                <w:color w:val="auto"/>
              </w:rPr>
              <w:t>accounting standards</w:t>
            </w:r>
          </w:p>
        </w:tc>
        <w:tc>
          <w:tcPr>
            <w:tcW w:w="420" w:type="dxa"/>
            <w:vAlign w:val="bottom"/>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(232)</w:t>
            </w:r>
          </w:p>
        </w:tc>
        <w:tc>
          <w:tcPr>
            <w:tcW w:w="340" w:type="dxa"/>
            <w:vAlign w:val="bottom"/>
          </w:tcPr>
          <w:p>
            <w:pPr>
              <w:spacing w:after="0"/>
              <w:rPr>
                <w:sz w:val="20"/>
                <w:szCs w:val="20"/>
                <w:color w:val="auto"/>
              </w:rPr>
            </w:pPr>
          </w:p>
        </w:tc>
        <w:tc>
          <w:tcPr>
            <w:tcW w:w="1360" w:type="dxa"/>
            <w:vAlign w:val="bottom"/>
          </w:tcPr>
          <w:p>
            <w:pPr>
              <w:jc w:val="right"/>
              <w:ind w:right="116"/>
              <w:spacing w:after="0"/>
              <w:rPr>
                <w:sz w:val="20"/>
                <w:szCs w:val="20"/>
                <w:color w:val="auto"/>
              </w:rPr>
            </w:pPr>
            <w:r>
              <w:rPr>
                <w:rFonts w:ascii="Arial" w:cs="Arial" w:eastAsia="Arial" w:hAnsi="Arial"/>
                <w:sz w:val="18"/>
                <w:szCs w:val="18"/>
                <w:color w:val="auto"/>
              </w:rPr>
              <w:t>232</w:t>
            </w: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2900" w:type="dxa"/>
            <w:vAlign w:val="bottom"/>
          </w:tcPr>
          <w:p>
            <w:pPr>
              <w:ind w:left="40"/>
              <w:spacing w:after="0"/>
              <w:rPr>
                <w:sz w:val="20"/>
                <w:szCs w:val="20"/>
                <w:color w:val="auto"/>
              </w:rPr>
            </w:pPr>
            <w:r>
              <w:rPr>
                <w:rFonts w:ascii="Arial" w:cs="Arial" w:eastAsia="Arial" w:hAnsi="Arial"/>
                <w:sz w:val="18"/>
                <w:szCs w:val="18"/>
                <w:color w:val="auto"/>
              </w:rPr>
              <w:t>Dividends declared</w:t>
            </w:r>
          </w:p>
        </w:tc>
        <w:tc>
          <w:tcPr>
            <w:tcW w:w="420" w:type="dxa"/>
            <w:vAlign w:val="bottom"/>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(990)</w:t>
            </w: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(990)</w:t>
            </w:r>
          </w:p>
        </w:tc>
      </w:tr>
      <w:tr>
        <w:trPr>
          <w:trHeight w:val="256"/>
        </w:trPr>
        <w:tc>
          <w:tcPr>
            <w:tcW w:w="2900" w:type="dxa"/>
            <w:vAlign w:val="bottom"/>
          </w:tcPr>
          <w:p>
            <w:pPr>
              <w:ind w:left="40"/>
              <w:spacing w:after="0"/>
              <w:rPr>
                <w:sz w:val="20"/>
                <w:szCs w:val="20"/>
                <w:color w:val="auto"/>
              </w:rPr>
            </w:pPr>
            <w:r>
              <w:rPr>
                <w:rFonts w:ascii="Arial" w:cs="Arial" w:eastAsia="Arial" w:hAnsi="Arial"/>
                <w:sz w:val="18"/>
                <w:szCs w:val="18"/>
                <w:color w:val="auto"/>
              </w:rPr>
              <w:t>Contributions from (distributions to)</w:t>
            </w:r>
          </w:p>
        </w:tc>
        <w:tc>
          <w:tcPr>
            <w:tcW w:w="420" w:type="dxa"/>
            <w:vAlign w:val="bottom"/>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0"/>
        </w:trPr>
        <w:tc>
          <w:tcPr>
            <w:tcW w:w="2900" w:type="dxa"/>
            <w:vAlign w:val="bottom"/>
          </w:tcPr>
          <w:p>
            <w:pPr>
              <w:ind w:left="200"/>
              <w:spacing w:after="0"/>
              <w:rPr>
                <w:sz w:val="20"/>
                <w:szCs w:val="20"/>
                <w:color w:val="auto"/>
              </w:rPr>
            </w:pPr>
            <w:r>
              <w:rPr>
                <w:rFonts w:ascii="Arial" w:cs="Arial" w:eastAsia="Arial" w:hAnsi="Arial"/>
                <w:sz w:val="18"/>
                <w:szCs w:val="18"/>
                <w:color w:val="auto"/>
              </w:rPr>
              <w:t>noncontrolling interests, net</w:t>
            </w:r>
          </w:p>
        </w:tc>
        <w:tc>
          <w:tcPr>
            <w:tcW w:w="420" w:type="dxa"/>
            <w:vAlign w:val="bottom"/>
          </w:tcPr>
          <w:p>
            <w:pPr>
              <w:spacing w:after="0"/>
              <w:rPr>
                <w:sz w:val="20"/>
                <w:szCs w:val="20"/>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5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313</w:t>
            </w:r>
          </w:p>
        </w:tc>
        <w:tc>
          <w:tcPr>
            <w:tcW w:w="38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313</w:t>
            </w:r>
          </w:p>
        </w:tc>
      </w:tr>
      <w:tr>
        <w:trPr>
          <w:trHeight w:val="270"/>
        </w:trPr>
        <w:tc>
          <w:tcPr>
            <w:tcW w:w="2900" w:type="dxa"/>
            <w:vAlign w:val="bottom"/>
          </w:tcPr>
          <w:p>
            <w:pPr>
              <w:ind w:left="40"/>
              <w:spacing w:after="0"/>
              <w:rPr>
                <w:sz w:val="20"/>
                <w:szCs w:val="20"/>
                <w:color w:val="auto"/>
              </w:rPr>
            </w:pPr>
            <w:r>
              <w:rPr>
                <w:rFonts w:ascii="Arial" w:cs="Arial" w:eastAsia="Arial" w:hAnsi="Arial"/>
                <w:sz w:val="18"/>
                <w:szCs w:val="18"/>
                <w:color w:val="auto"/>
                <w:w w:val="99"/>
              </w:rPr>
              <w:t>Other comprehensive income (loss)</w:t>
            </w:r>
          </w:p>
        </w:tc>
        <w:tc>
          <w:tcPr>
            <w:tcW w:w="420" w:type="dxa"/>
            <w:vAlign w:val="bottom"/>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60" w:type="dxa"/>
            <w:vAlign w:val="bottom"/>
          </w:tcPr>
          <w:p>
            <w:pPr>
              <w:jc w:val="right"/>
              <w:ind w:right="116"/>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23"/>
                <w:szCs w:val="23"/>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(25)</w:t>
            </w: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2900" w:type="dxa"/>
            <w:vAlign w:val="bottom"/>
          </w:tcPr>
          <w:p>
            <w:pPr>
              <w:ind w:left="4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3"/>
                <w:szCs w:val="23"/>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500" w:type="dxa"/>
            <w:vAlign w:val="bottom"/>
          </w:tcPr>
          <w:p>
            <w:pPr>
              <w:spacing w:after="0"/>
              <w:rPr>
                <w:sz w:val="23"/>
                <w:szCs w:val="23"/>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91</w:t>
            </w: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(102)</w:t>
            </w: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29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23"/>
                <w:szCs w:val="23"/>
                <w:color w:val="auto"/>
              </w:rPr>
            </w:pPr>
          </w:p>
        </w:tc>
        <w:tc>
          <w:tcPr>
            <w:tcW w:w="1320" w:type="dxa"/>
            <w:vAlign w:val="bottom"/>
            <w:tcBorders>
              <w:right w:val="single" w:sz="8" w:color="auto"/>
            </w:tcBorders>
          </w:tcPr>
          <w:p>
            <w:pPr>
              <w:jc w:val="right"/>
              <w:ind w:right="54"/>
              <w:spacing w:after="0"/>
              <w:rPr>
                <w:sz w:val="20"/>
                <w:szCs w:val="20"/>
                <w:color w:val="auto"/>
              </w:rPr>
            </w:pPr>
            <w:r>
              <w:rPr>
                <w:rFonts w:ascii="Arial" w:cs="Arial" w:eastAsia="Arial" w:hAnsi="Arial"/>
                <w:sz w:val="18"/>
                <w:szCs w:val="18"/>
                <w:color w:val="auto"/>
              </w:rPr>
              <w:t>20</w:t>
            </w:r>
          </w:p>
        </w:tc>
        <w:tc>
          <w:tcPr>
            <w:tcW w:w="500" w:type="dxa"/>
            <w:vAlign w:val="bottom"/>
          </w:tcPr>
          <w:p>
            <w:pPr>
              <w:spacing w:after="0"/>
              <w:rPr>
                <w:sz w:val="23"/>
                <w:szCs w:val="23"/>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2,760</w:t>
            </w: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2,751</w:t>
            </w:r>
          </w:p>
        </w:tc>
      </w:tr>
      <w:tr>
        <w:trPr>
          <w:trHeight w:val="27"/>
        </w:trPr>
        <w:tc>
          <w:tcPr>
            <w:tcW w:w="2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2900" w:type="dxa"/>
            <w:vAlign w:val="bottom"/>
          </w:tcPr>
          <w:p>
            <w:pPr>
              <w:ind w:left="40"/>
              <w:spacing w:after="0"/>
              <w:rPr>
                <w:sz w:val="20"/>
                <w:szCs w:val="20"/>
                <w:color w:val="auto"/>
              </w:rPr>
            </w:pPr>
            <w:r>
              <w:rPr>
                <w:rFonts w:ascii="Arial" w:cs="Arial" w:eastAsia="Arial" w:hAnsi="Arial"/>
                <w:sz w:val="18"/>
                <w:szCs w:val="18"/>
                <w:b w:val="1"/>
                <w:bCs w:val="1"/>
                <w:color w:val="auto"/>
              </w:rPr>
              <w:t>Balance, June 30, 2018</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right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391</w:t>
            </w: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112"/>
              <w:spacing w:after="0"/>
              <w:rPr>
                <w:sz w:val="20"/>
                <w:szCs w:val="20"/>
                <w:color w:val="auto"/>
              </w:rPr>
            </w:pPr>
            <w:r>
              <w:rPr>
                <w:rFonts w:ascii="Arial" w:cs="Arial" w:eastAsia="Arial" w:hAnsi="Arial"/>
                <w:sz w:val="18"/>
                <w:szCs w:val="18"/>
                <w:b w:val="1"/>
                <w:bCs w:val="1"/>
                <w:color w:val="auto"/>
              </w:rPr>
              <w:t>43,777</w:t>
            </w:r>
          </w:p>
        </w:tc>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116"/>
              <w:spacing w:after="0"/>
              <w:rPr>
                <w:sz w:val="20"/>
                <w:szCs w:val="20"/>
                <w:color w:val="auto"/>
              </w:rPr>
            </w:pPr>
            <w:r>
              <w:rPr>
                <w:rFonts w:ascii="Arial" w:cs="Arial" w:eastAsia="Arial" w:hAnsi="Arial"/>
                <w:sz w:val="18"/>
                <w:szCs w:val="18"/>
                <w:b w:val="1"/>
                <w:bCs w:val="1"/>
                <w:color w:val="auto"/>
              </w:rPr>
              <w:t>218</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112"/>
              <w:spacing w:after="0"/>
              <w:rPr>
                <w:sz w:val="20"/>
                <w:szCs w:val="20"/>
                <w:color w:val="auto"/>
              </w:rPr>
            </w:pPr>
            <w:r>
              <w:rPr>
                <w:rFonts w:ascii="Arial" w:cs="Arial" w:eastAsia="Arial" w:hAnsi="Arial"/>
                <w:sz w:val="18"/>
                <w:szCs w:val="18"/>
                <w:b w:val="1"/>
                <w:bCs w:val="1"/>
                <w:color w:val="auto"/>
              </w:rPr>
              <w:t>1,090</w:t>
            </w:r>
          </w:p>
        </w:tc>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b w:val="1"/>
                <w:bCs w:val="1"/>
                <w:color w:val="auto"/>
              </w:rPr>
              <w:t>45,085</w:t>
            </w:r>
          </w:p>
        </w:tc>
      </w:tr>
      <w:tr>
        <w:trPr>
          <w:trHeight w:val="34"/>
        </w:trPr>
        <w:tc>
          <w:tcPr>
            <w:tcW w:w="4640" w:type="dxa"/>
            <w:vAlign w:val="bottom"/>
            <w:tcBorders>
              <w:bottom w:val="single" w:sz="8" w:color="auto"/>
              <w:right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1"/>
        </w:trPr>
        <w:tc>
          <w:tcPr>
            <w:tcW w:w="4640" w:type="dxa"/>
            <w:vAlign w:val="bottom"/>
            <w:gridSpan w:val="3"/>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539"/>
        </w:trPr>
        <w:tc>
          <w:tcPr>
            <w:tcW w:w="2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jc w:val="right"/>
              <w:ind w:right="552"/>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0" w:lineRule="exact"/>
        <w:rPr>
          <w:sz w:val="20"/>
          <w:szCs w:val="20"/>
          <w:color w:val="auto"/>
        </w:rPr>
      </w:pPr>
    </w:p>
    <w:p>
      <w:pPr>
        <w:spacing w:after="0" w:line="210" w:lineRule="exact"/>
        <w:rPr>
          <w:sz w:val="20"/>
          <w:szCs w:val="20"/>
          <w:color w:val="auto"/>
        </w:rPr>
      </w:pPr>
    </w:p>
    <w:p>
      <w:pPr>
        <w:ind w:right="4380"/>
        <w:spacing w:after="0" w:line="274"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Unless indicated otherwise, throughout these notes to the condensed consolidated financial statements, we refer to NBCUniversal and its consolidated subsidiaries as “we,” “us” and “our.” 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cash flows and financial condition for the periods shown, including normal, recurring accruals and other items. The consolidated results of operations for the interim periods presented are not necessarily indicative of results for the full year.</w:t>
      </w:r>
    </w:p>
    <w:p>
      <w:pPr>
        <w:spacing w:after="0" w:line="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2017 Annual Report on Form 10-K and the footnotes within this Form 10-Q.</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See Note 6 for a discussion of the effects of the adoption of new accounting pronouncements on our condensed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Segment Information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present our operations in four reportable business segments:</w:t>
      </w:r>
    </w:p>
    <w:p>
      <w:pPr>
        <w:spacing w:after="0" w:line="73" w:lineRule="exact"/>
        <w:rPr>
          <w:sz w:val="20"/>
          <w:szCs w:val="20"/>
          <w:color w:val="auto"/>
        </w:rPr>
      </w:pPr>
    </w:p>
    <w:p>
      <w:pPr>
        <w:jc w:val="both"/>
        <w:ind w:left="660" w:hanging="328"/>
        <w:spacing w:after="0" w:line="266"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that provide a variety of entertainment, news and information, and sports</w:t>
      </w:r>
      <w:r>
        <w:rPr>
          <w:rFonts w:ascii="Arial" w:cs="Arial" w:eastAsia="Arial" w:hAnsi="Arial"/>
          <w:sz w:val="18"/>
          <w:szCs w:val="18"/>
          <w:b w:val="1"/>
          <w:bCs w:val="1"/>
          <w:color w:val="auto"/>
        </w:rPr>
        <w:t xml:space="preserve"> </w:t>
      </w:r>
      <w:r>
        <w:rPr>
          <w:rFonts w:ascii="Arial" w:cs="Arial" w:eastAsia="Arial" w:hAnsi="Arial"/>
          <w:sz w:val="18"/>
          <w:szCs w:val="18"/>
          <w:color w:val="auto"/>
        </w:rPr>
        <w:t>content, our regional sports and news networks, our international cable networks, our cable television studio production operations, and various digital properties.</w:t>
      </w:r>
    </w:p>
    <w:p>
      <w:pPr>
        <w:spacing w:after="0" w:line="27" w:lineRule="exact"/>
        <w:rPr>
          <w:rFonts w:ascii="Arial" w:cs="Arial" w:eastAsia="Arial" w:hAnsi="Arial"/>
          <w:sz w:val="18"/>
          <w:szCs w:val="18"/>
          <w:b w:val="1"/>
          <w:bCs w:val="1"/>
          <w:color w:val="auto"/>
        </w:rPr>
      </w:pPr>
    </w:p>
    <w:p>
      <w:pPr>
        <w:ind w:left="660" w:hanging="328"/>
        <w:spacing w:after="0" w:line="325"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 xml:space="preserve">Broadcast Television: </w:t>
      </w:r>
      <w:r>
        <w:rPr>
          <w:rFonts w:ascii="Arial" w:cs="Arial" w:eastAsia="Arial" w:hAnsi="Arial"/>
          <w:sz w:val="16"/>
          <w:szCs w:val="16"/>
          <w:color w:val="auto"/>
        </w:rPr>
        <w:t>Consists primarily of the NBC and Telemundo broadcast networks, our NBC and Telemundo owned local broadcast</w:t>
      </w:r>
      <w:r>
        <w:rPr>
          <w:rFonts w:ascii="Arial" w:cs="Arial" w:eastAsia="Arial" w:hAnsi="Arial"/>
          <w:sz w:val="16"/>
          <w:szCs w:val="16"/>
          <w:b w:val="1"/>
          <w:bCs w:val="1"/>
          <w:color w:val="auto"/>
        </w:rPr>
        <w:t xml:space="preserve"> </w:t>
      </w:r>
      <w:r>
        <w:rPr>
          <w:rFonts w:ascii="Arial" w:cs="Arial" w:eastAsia="Arial" w:hAnsi="Arial"/>
          <w:sz w:val="16"/>
          <w:szCs w:val="16"/>
          <w:color w:val="auto"/>
        </w:rPr>
        <w:t>television stations, the NBC Universo national cable network, our broadcast television studio production operations, and various digital properties.</w:t>
      </w:r>
    </w:p>
    <w:p>
      <w:pPr>
        <w:spacing w:after="0" w:line="1" w:lineRule="exact"/>
        <w:rPr>
          <w:rFonts w:ascii="Arial" w:cs="Arial" w:eastAsia="Arial" w:hAnsi="Arial"/>
          <w:sz w:val="16"/>
          <w:szCs w:val="16"/>
          <w:color w:val="auto"/>
        </w:rPr>
      </w:pPr>
    </w:p>
    <w:p>
      <w:pPr>
        <w:ind w:left="660" w:hanging="328"/>
        <w:spacing w:after="0" w:line="306"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 xml:space="preserve">Filmed Entertainment: </w:t>
      </w:r>
      <w:r>
        <w:rPr>
          <w:rFonts w:ascii="Arial" w:cs="Arial" w:eastAsia="Arial" w:hAnsi="Arial"/>
          <w:sz w:val="17"/>
          <w:szCs w:val="17"/>
          <w:color w:val="auto"/>
        </w:rPr>
        <w:t>Consists primarily of the operations of Universal Pictures, which produces, acquires, markets and distributes filmed</w:t>
      </w:r>
      <w:r>
        <w:rPr>
          <w:rFonts w:ascii="Arial" w:cs="Arial" w:eastAsia="Arial" w:hAnsi="Arial"/>
          <w:sz w:val="17"/>
          <w:szCs w:val="17"/>
          <w:b w:val="1"/>
          <w:bCs w:val="1"/>
          <w:color w:val="auto"/>
        </w:rPr>
        <w:t xml:space="preserve"> </w:t>
      </w:r>
      <w:r>
        <w:rPr>
          <w:rFonts w:ascii="Arial" w:cs="Arial" w:eastAsia="Arial" w:hAnsi="Arial"/>
          <w:sz w:val="17"/>
          <w:szCs w:val="17"/>
          <w:color w:val="auto"/>
        </w:rPr>
        <w:t>entertainment worldwide; our films are also produced under the Illumination, DreamWorks Animation and Focus Features names.</w:t>
      </w:r>
    </w:p>
    <w:p>
      <w:pPr>
        <w:spacing w:after="0" w:line="1" w:lineRule="exact"/>
        <w:rPr>
          <w:rFonts w:ascii="Arial" w:cs="Arial" w:eastAsia="Arial" w:hAnsi="Arial"/>
          <w:sz w:val="17"/>
          <w:szCs w:val="17"/>
          <w:color w:val="auto"/>
        </w:rPr>
      </w:pPr>
    </w:p>
    <w:p>
      <w:pPr>
        <w:ind w:left="660" w:right="20" w:hanging="328"/>
        <w:spacing w:after="0" w:line="309"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 xml:space="preserve">Theme Parks: </w:t>
      </w:r>
      <w:r>
        <w:rPr>
          <w:rFonts w:ascii="Arial" w:cs="Arial" w:eastAsia="Arial" w:hAnsi="Arial"/>
          <w:sz w:val="17"/>
          <w:szCs w:val="17"/>
          <w:color w:val="auto"/>
        </w:rPr>
        <w:t>Consists primarily of our Universal theme parks in Orlando, Florida; Hollywood, California; and Osaka, Japan. In addition, along</w:t>
      </w:r>
      <w:r>
        <w:rPr>
          <w:rFonts w:ascii="Arial" w:cs="Arial" w:eastAsia="Arial" w:hAnsi="Arial"/>
          <w:sz w:val="17"/>
          <w:szCs w:val="17"/>
          <w:b w:val="1"/>
          <w:bCs w:val="1"/>
          <w:color w:val="auto"/>
        </w:rPr>
        <w:t xml:space="preserve"> </w:t>
      </w:r>
      <w:r>
        <w:rPr>
          <w:rFonts w:ascii="Arial" w:cs="Arial" w:eastAsia="Arial" w:hAnsi="Arial"/>
          <w:sz w:val="17"/>
          <w:szCs w:val="17"/>
          <w:color w:val="auto"/>
        </w:rPr>
        <w:t>with a consortium of Chinese state-owned companies, we are developing a Universal theme park and resort in Beijing, China.</w:t>
      </w:r>
    </w:p>
    <w:p>
      <w:pPr>
        <w:spacing w:after="0" w:line="308" w:lineRule="auto"/>
        <w:rPr>
          <w:sz w:val="20"/>
          <w:szCs w:val="20"/>
          <w:color w:val="auto"/>
        </w:rPr>
      </w:pPr>
      <w:r>
        <w:rPr>
          <w:rFonts w:ascii="Arial" w:cs="Arial" w:eastAsia="Arial" w:hAnsi="Arial"/>
          <w:sz w:val="17"/>
          <w:szCs w:val="17"/>
          <w:color w:val="auto"/>
        </w:rPr>
        <w:t>We use Adjusted EBITDA to evaluate the profitability of our operating segments and the components of net income attributable to NBCUniversal excluded from Adjusted EBITDA are not separately evaluated. Our financial data by business segment is presented in the tables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5"/>
          </w:tcPr>
          <w:p>
            <w:pPr>
              <w:jc w:val="right"/>
              <w:ind w:right="814"/>
              <w:spacing w:after="0"/>
              <w:rPr>
                <w:sz w:val="20"/>
                <w:szCs w:val="20"/>
                <w:color w:val="auto"/>
              </w:rPr>
            </w:pPr>
            <w:r>
              <w:rPr>
                <w:rFonts w:ascii="Arial" w:cs="Arial" w:eastAsia="Arial" w:hAnsi="Arial"/>
                <w:sz w:val="14"/>
                <w:szCs w:val="14"/>
                <w:color w:val="auto"/>
              </w:rPr>
              <w:t>Three Months Ended June 30, 2018</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56"/>
        </w:trPr>
        <w:tc>
          <w:tcPr>
            <w:tcW w:w="4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ind w:right="54"/>
              <w:spacing w:after="0" w:line="157" w:lineRule="exact"/>
              <w:rPr>
                <w:sz w:val="20"/>
                <w:szCs w:val="20"/>
                <w:color w:val="auto"/>
              </w:rPr>
            </w:pPr>
            <w:r>
              <w:rPr>
                <w:rFonts w:ascii="Arial" w:cs="Arial" w:eastAsia="Arial" w:hAnsi="Arial"/>
                <w:sz w:val="14"/>
                <w:szCs w:val="14"/>
                <w:color w:val="auto"/>
                <w:w w:val="94"/>
              </w:rPr>
              <w:t>Depreciation and</w:t>
            </w:r>
          </w:p>
        </w:tc>
        <w:tc>
          <w:tcPr>
            <w:tcW w:w="240" w:type="dxa"/>
            <w:vAlign w:val="bottom"/>
          </w:tcPr>
          <w:p>
            <w:pPr>
              <w:spacing w:after="0"/>
              <w:rPr>
                <w:sz w:val="13"/>
                <w:szCs w:val="13"/>
                <w:color w:val="auto"/>
              </w:rPr>
            </w:pPr>
          </w:p>
        </w:tc>
        <w:tc>
          <w:tcPr>
            <w:tcW w:w="1020" w:type="dxa"/>
            <w:vAlign w:val="bottom"/>
          </w:tcPr>
          <w:p>
            <w:pPr>
              <w:jc w:val="right"/>
              <w:ind w:right="314"/>
              <w:spacing w:after="0" w:line="157" w:lineRule="exact"/>
              <w:rPr>
                <w:sz w:val="20"/>
                <w:szCs w:val="20"/>
                <w:color w:val="auto"/>
              </w:rPr>
            </w:pPr>
            <w:r>
              <w:rPr>
                <w:rFonts w:ascii="Arial" w:cs="Arial" w:eastAsia="Arial" w:hAnsi="Arial"/>
                <w:sz w:val="14"/>
                <w:szCs w:val="14"/>
                <w:color w:val="auto"/>
              </w:rPr>
              <w:t>Capital</w:t>
            </w:r>
          </w:p>
        </w:tc>
        <w:tc>
          <w:tcPr>
            <w:tcW w:w="160" w:type="dxa"/>
            <w:vAlign w:val="bottom"/>
          </w:tcPr>
          <w:p>
            <w:pPr>
              <w:spacing w:after="0"/>
              <w:rPr>
                <w:sz w:val="13"/>
                <w:szCs w:val="13"/>
                <w:color w:val="auto"/>
              </w:rPr>
            </w:pPr>
          </w:p>
        </w:tc>
        <w:tc>
          <w:tcPr>
            <w:tcW w:w="1140" w:type="dxa"/>
            <w:vAlign w:val="bottom"/>
          </w:tcPr>
          <w:p>
            <w:pPr>
              <w:jc w:val="right"/>
              <w:ind w:right="154"/>
              <w:spacing w:after="0" w:line="157" w:lineRule="exact"/>
              <w:rPr>
                <w:sz w:val="20"/>
                <w:szCs w:val="20"/>
                <w:color w:val="auto"/>
              </w:rPr>
            </w:pPr>
            <w:r>
              <w:rPr>
                <w:rFonts w:ascii="Arial" w:cs="Arial" w:eastAsia="Arial" w:hAnsi="Arial"/>
                <w:sz w:val="14"/>
                <w:szCs w:val="14"/>
                <w:color w:val="auto"/>
              </w:rPr>
              <w:t>Cash Paid for</w:t>
            </w:r>
          </w:p>
        </w:tc>
      </w:tr>
      <w:tr>
        <w:trPr>
          <w:trHeight w:val="188"/>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Revenue</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Adjusted EBITDA</w:t>
            </w:r>
            <w:r>
              <w:rPr>
                <w:rFonts w:ascii="Arial" w:cs="Arial" w:eastAsia="Arial" w:hAnsi="Arial"/>
                <w:sz w:val="12"/>
                <w:szCs w:val="12"/>
                <w:color w:val="auto"/>
              </w:rPr>
              <w:t>(c)</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Amortization</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w w:val="97"/>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w w:val="91"/>
              </w:rPr>
              <w:t>Intangible Assets</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Cable Networks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2,916</w:t>
            </w:r>
          </w:p>
        </w:tc>
        <w:tc>
          <w:tcPr>
            <w:tcW w:w="5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1,186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5</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Broadcast Television</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2,391</w:t>
            </w:r>
          </w:p>
        </w:tc>
        <w:tc>
          <w:tcPr>
            <w:tcW w:w="50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417</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Filmed Entertainment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1,710</w:t>
            </w:r>
          </w:p>
        </w:tc>
        <w:tc>
          <w:tcPr>
            <w:tcW w:w="50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8</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Theme Parks</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1,361</w:t>
            </w:r>
          </w:p>
        </w:tc>
        <w:tc>
          <w:tcPr>
            <w:tcW w:w="50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569</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167</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360</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119</w:t>
            </w:r>
          </w:p>
        </w:tc>
      </w:tr>
      <w:tr>
        <w:trPr>
          <w:trHeight w:val="310"/>
        </w:trPr>
        <w:tc>
          <w:tcPr>
            <w:tcW w:w="4920" w:type="dxa"/>
            <w:vAlign w:val="bottom"/>
          </w:tcPr>
          <w:p>
            <w:pPr>
              <w:ind w:left="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5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24"/>
                <w:szCs w:val="24"/>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31</w:t>
            </w:r>
          </w:p>
        </w:tc>
      </w:tr>
      <w:tr>
        <w:trPr>
          <w:trHeight w:val="257"/>
        </w:trPr>
        <w:tc>
          <w:tcPr>
            <w:tcW w:w="492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8,313</w:t>
            </w:r>
          </w:p>
        </w:tc>
        <w:tc>
          <w:tcPr>
            <w:tcW w:w="500" w:type="dxa"/>
            <w:vAlign w:val="bottom"/>
          </w:tcPr>
          <w:p>
            <w:pPr>
              <w:jc w:val="right"/>
              <w:ind w:right="276"/>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2,160</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553</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461</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b w:val="1"/>
                <w:bCs w:val="1"/>
                <w:color w:val="auto"/>
              </w:rPr>
              <w:t>166</w:t>
            </w:r>
          </w:p>
        </w:tc>
      </w:tr>
      <w:tr>
        <w:trPr>
          <w:trHeight w:val="34"/>
        </w:trPr>
        <w:tc>
          <w:tcPr>
            <w:tcW w:w="4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513"/>
        </w:trPr>
        <w:tc>
          <w:tcPr>
            <w:tcW w:w="4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272"/>
              <w:spacing w:after="0"/>
              <w:rPr>
                <w:sz w:val="20"/>
                <w:szCs w:val="20"/>
                <w:color w:val="auto"/>
              </w:rPr>
            </w:pPr>
            <w:r>
              <w:rPr>
                <w:rFonts w:ascii="Arial" w:cs="Arial" w:eastAsia="Arial" w:hAnsi="Arial"/>
                <w:sz w:val="18"/>
                <w:szCs w:val="18"/>
                <w:color w:val="auto"/>
              </w:rPr>
              <w:t>56</w:t>
            </w: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5"/>
          </w:tcPr>
          <w:p>
            <w:pPr>
              <w:jc w:val="right"/>
              <w:ind w:right="814"/>
              <w:spacing w:after="0"/>
              <w:rPr>
                <w:sz w:val="20"/>
                <w:szCs w:val="20"/>
                <w:color w:val="auto"/>
              </w:rPr>
            </w:pPr>
            <w:r>
              <w:rPr>
                <w:rFonts w:ascii="Arial" w:cs="Arial" w:eastAsia="Arial" w:hAnsi="Arial"/>
                <w:sz w:val="14"/>
                <w:szCs w:val="14"/>
                <w:color w:val="auto"/>
              </w:rPr>
              <w:t>Three Months Ended June 30, 2017</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56"/>
        </w:trPr>
        <w:tc>
          <w:tcPr>
            <w:tcW w:w="4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14"/>
              <w:spacing w:after="0" w:line="157" w:lineRule="exact"/>
              <w:rPr>
                <w:sz w:val="20"/>
                <w:szCs w:val="20"/>
                <w:color w:val="auto"/>
              </w:rPr>
            </w:pPr>
            <w:r>
              <w:rPr>
                <w:rFonts w:ascii="Arial" w:cs="Arial" w:eastAsia="Arial" w:hAnsi="Arial"/>
                <w:sz w:val="14"/>
                <w:szCs w:val="14"/>
                <w:color w:val="auto"/>
                <w:w w:val="92"/>
              </w:rPr>
              <w:t>Depreciation and</w:t>
            </w:r>
          </w:p>
        </w:tc>
        <w:tc>
          <w:tcPr>
            <w:tcW w:w="280" w:type="dxa"/>
            <w:vAlign w:val="bottom"/>
          </w:tcPr>
          <w:p>
            <w:pPr>
              <w:spacing w:after="0"/>
              <w:rPr>
                <w:sz w:val="13"/>
                <w:szCs w:val="13"/>
                <w:color w:val="auto"/>
              </w:rPr>
            </w:pPr>
          </w:p>
        </w:tc>
        <w:tc>
          <w:tcPr>
            <w:tcW w:w="980" w:type="dxa"/>
            <w:vAlign w:val="bottom"/>
          </w:tcPr>
          <w:p>
            <w:pPr>
              <w:jc w:val="center"/>
              <w:ind w:right="134"/>
              <w:spacing w:after="0" w:line="157" w:lineRule="exact"/>
              <w:rPr>
                <w:sz w:val="20"/>
                <w:szCs w:val="20"/>
                <w:color w:val="auto"/>
              </w:rPr>
            </w:pPr>
            <w:r>
              <w:rPr>
                <w:rFonts w:ascii="Arial" w:cs="Arial" w:eastAsia="Arial" w:hAnsi="Arial"/>
                <w:sz w:val="14"/>
                <w:szCs w:val="14"/>
                <w:color w:val="auto"/>
                <w:w w:val="91"/>
              </w:rPr>
              <w:t>Capital</w:t>
            </w:r>
          </w:p>
        </w:tc>
        <w:tc>
          <w:tcPr>
            <w:tcW w:w="160" w:type="dxa"/>
            <w:vAlign w:val="bottom"/>
          </w:tcPr>
          <w:p>
            <w:pPr>
              <w:spacing w:after="0"/>
              <w:rPr>
                <w:sz w:val="13"/>
                <w:szCs w:val="13"/>
                <w:color w:val="auto"/>
              </w:rPr>
            </w:pPr>
          </w:p>
        </w:tc>
        <w:tc>
          <w:tcPr>
            <w:tcW w:w="1140" w:type="dxa"/>
            <w:vAlign w:val="bottom"/>
          </w:tcPr>
          <w:p>
            <w:pPr>
              <w:jc w:val="center"/>
              <w:ind w:right="34"/>
              <w:spacing w:after="0" w:line="157" w:lineRule="exact"/>
              <w:rPr>
                <w:sz w:val="20"/>
                <w:szCs w:val="20"/>
                <w:color w:val="auto"/>
              </w:rPr>
            </w:pPr>
            <w:r>
              <w:rPr>
                <w:rFonts w:ascii="Arial" w:cs="Arial" w:eastAsia="Arial" w:hAnsi="Arial"/>
                <w:sz w:val="14"/>
                <w:szCs w:val="14"/>
                <w:color w:val="auto"/>
                <w:w w:val="91"/>
              </w:rPr>
              <w:t>Cash Paid for</w:t>
            </w:r>
          </w:p>
        </w:tc>
      </w:tr>
      <w:tr>
        <w:trPr>
          <w:trHeight w:val="188"/>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Revenue</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Adjusted EBITDA</w:t>
            </w:r>
            <w:r>
              <w:rPr>
                <w:rFonts w:ascii="Arial" w:cs="Arial" w:eastAsia="Arial" w:hAnsi="Arial"/>
                <w:sz w:val="12"/>
                <w:szCs w:val="12"/>
                <w:color w:val="auto"/>
              </w:rPr>
              <w:t>(c)</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97"/>
              </w:rPr>
              <w:t>Amortization</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color w:val="auto"/>
                <w:w w:val="92"/>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91"/>
              </w:rPr>
              <w:t>Intangible Assets</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Cable Networks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2,696</w:t>
            </w:r>
          </w:p>
        </w:tc>
        <w:tc>
          <w:tcPr>
            <w:tcW w:w="5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1,055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Broadcast Television</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2,241</w:t>
            </w:r>
          </w:p>
        </w:tc>
        <w:tc>
          <w:tcPr>
            <w:tcW w:w="50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416</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Filmed Entertainment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2,142</w:t>
            </w:r>
          </w:p>
        </w:tc>
        <w:tc>
          <w:tcPr>
            <w:tcW w:w="50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Theme Parks</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1,314</w:t>
            </w:r>
          </w:p>
        </w:tc>
        <w:tc>
          <w:tcPr>
            <w:tcW w:w="50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551</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186</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243</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26</w:t>
            </w:r>
          </w:p>
        </w:tc>
      </w:tr>
      <w:tr>
        <w:trPr>
          <w:trHeight w:val="310"/>
        </w:trPr>
        <w:tc>
          <w:tcPr>
            <w:tcW w:w="4920" w:type="dxa"/>
            <w:vAlign w:val="bottom"/>
          </w:tcPr>
          <w:p>
            <w:pPr>
              <w:ind w:left="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5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(235)</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24"/>
                <w:szCs w:val="24"/>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33</w:t>
            </w:r>
          </w:p>
        </w:tc>
      </w:tr>
      <w:tr>
        <w:trPr>
          <w:trHeight w:val="257"/>
        </w:trPr>
        <w:tc>
          <w:tcPr>
            <w:tcW w:w="492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8,318</w:t>
            </w:r>
          </w:p>
        </w:tc>
        <w:tc>
          <w:tcPr>
            <w:tcW w:w="500" w:type="dxa"/>
            <w:vAlign w:val="bottom"/>
          </w:tcPr>
          <w:p>
            <w:pPr>
              <w:jc w:val="right"/>
              <w:ind w:right="276"/>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2,074</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520</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338</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b w:val="1"/>
                <w:bCs w:val="1"/>
                <w:color w:val="auto"/>
              </w:rPr>
              <w:t>73</w:t>
            </w:r>
          </w:p>
        </w:tc>
      </w:tr>
      <w:tr>
        <w:trPr>
          <w:trHeight w:val="34"/>
        </w:trPr>
        <w:tc>
          <w:tcPr>
            <w:tcW w:w="4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4"/>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32"/>
        </w:trPr>
        <w:tc>
          <w:tcPr>
            <w:tcW w:w="49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Six Months Ended June 30, 2018</w:t>
            </w: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56"/>
        </w:trPr>
        <w:tc>
          <w:tcPr>
            <w:tcW w:w="4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14"/>
              <w:spacing w:after="0" w:line="157" w:lineRule="exact"/>
              <w:rPr>
                <w:sz w:val="20"/>
                <w:szCs w:val="20"/>
                <w:color w:val="auto"/>
              </w:rPr>
            </w:pPr>
            <w:r>
              <w:rPr>
                <w:rFonts w:ascii="Arial" w:cs="Arial" w:eastAsia="Arial" w:hAnsi="Arial"/>
                <w:sz w:val="14"/>
                <w:szCs w:val="14"/>
                <w:color w:val="auto"/>
                <w:w w:val="92"/>
              </w:rPr>
              <w:t>Depreciation and</w:t>
            </w:r>
          </w:p>
        </w:tc>
        <w:tc>
          <w:tcPr>
            <w:tcW w:w="280" w:type="dxa"/>
            <w:vAlign w:val="bottom"/>
          </w:tcPr>
          <w:p>
            <w:pPr>
              <w:spacing w:after="0"/>
              <w:rPr>
                <w:sz w:val="13"/>
                <w:szCs w:val="13"/>
                <w:color w:val="auto"/>
              </w:rPr>
            </w:pPr>
          </w:p>
        </w:tc>
        <w:tc>
          <w:tcPr>
            <w:tcW w:w="980" w:type="dxa"/>
            <w:vAlign w:val="bottom"/>
          </w:tcPr>
          <w:p>
            <w:pPr>
              <w:jc w:val="center"/>
              <w:ind w:right="114"/>
              <w:spacing w:after="0" w:line="157" w:lineRule="exact"/>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3"/>
                <w:szCs w:val="13"/>
                <w:color w:val="auto"/>
              </w:rPr>
            </w:pPr>
          </w:p>
        </w:tc>
        <w:tc>
          <w:tcPr>
            <w:tcW w:w="1140" w:type="dxa"/>
            <w:vAlign w:val="bottom"/>
          </w:tcPr>
          <w:p>
            <w:pPr>
              <w:jc w:val="center"/>
              <w:ind w:right="34"/>
              <w:spacing w:after="0" w:line="157" w:lineRule="exact"/>
              <w:rPr>
                <w:sz w:val="20"/>
                <w:szCs w:val="20"/>
                <w:color w:val="auto"/>
              </w:rPr>
            </w:pPr>
            <w:r>
              <w:rPr>
                <w:rFonts w:ascii="Arial" w:cs="Arial" w:eastAsia="Arial" w:hAnsi="Arial"/>
                <w:sz w:val="14"/>
                <w:szCs w:val="14"/>
                <w:color w:val="auto"/>
                <w:w w:val="91"/>
              </w:rPr>
              <w:t>Cash Paid for</w:t>
            </w:r>
          </w:p>
        </w:tc>
      </w:tr>
      <w:tr>
        <w:trPr>
          <w:trHeight w:val="188"/>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Revenue</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Adjusted EBITDA</w:t>
            </w:r>
            <w:r>
              <w:rPr>
                <w:rFonts w:ascii="Arial" w:cs="Arial" w:eastAsia="Arial" w:hAnsi="Arial"/>
                <w:sz w:val="12"/>
                <w:szCs w:val="12"/>
                <w:color w:val="auto"/>
              </w:rPr>
              <w:t>(c)</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97"/>
              </w:rPr>
              <w:t>Amortization</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color w:val="auto"/>
                <w:w w:val="92"/>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91"/>
              </w:rPr>
              <w:t>Intangible Assets</w:t>
            </w:r>
          </w:p>
        </w:tc>
      </w:tr>
      <w:tr>
        <w:trPr>
          <w:trHeight w:val="282"/>
        </w:trPr>
        <w:tc>
          <w:tcPr>
            <w:tcW w:w="4920" w:type="dxa"/>
            <w:vAlign w:val="bottom"/>
          </w:tcPr>
          <w:p>
            <w:pPr>
              <w:ind w:left="40"/>
              <w:spacing w:after="0" w:line="282" w:lineRule="exact"/>
              <w:rPr>
                <w:sz w:val="20"/>
                <w:szCs w:val="20"/>
                <w:color w:val="auto"/>
              </w:rPr>
            </w:pPr>
            <w:r>
              <w:rPr>
                <w:rFonts w:ascii="Arial" w:cs="Arial" w:eastAsia="Arial" w:hAnsi="Arial"/>
                <w:sz w:val="18"/>
                <w:szCs w:val="18"/>
                <w:color w:val="auto"/>
              </w:rPr>
              <w:t>Cable Networks</w:t>
            </w:r>
            <w:r>
              <w:rPr>
                <w:rFonts w:ascii="Arial" w:cs="Arial" w:eastAsia="Arial" w:hAnsi="Arial"/>
                <w:sz w:val="25"/>
                <w:szCs w:val="25"/>
                <w:color w:val="auto"/>
                <w:vertAlign w:val="superscript"/>
              </w:rPr>
              <w:t>(d)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6,110</w:t>
            </w:r>
          </w:p>
        </w:tc>
        <w:tc>
          <w:tcPr>
            <w:tcW w:w="5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2,454</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368</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9</w:t>
            </w:r>
          </w:p>
        </w:tc>
      </w:tr>
      <w:tr>
        <w:trPr>
          <w:trHeight w:val="270"/>
        </w:trPr>
        <w:tc>
          <w:tcPr>
            <w:tcW w:w="4920" w:type="dxa"/>
            <w:vAlign w:val="bottom"/>
          </w:tcPr>
          <w:p>
            <w:pPr>
              <w:ind w:left="40"/>
              <w:spacing w:after="0" w:line="270" w:lineRule="exact"/>
              <w:rPr>
                <w:sz w:val="20"/>
                <w:szCs w:val="20"/>
                <w:color w:val="auto"/>
              </w:rPr>
            </w:pPr>
            <w:r>
              <w:rPr>
                <w:rFonts w:ascii="Arial" w:cs="Arial" w:eastAsia="Arial" w:hAnsi="Arial"/>
                <w:sz w:val="18"/>
                <w:szCs w:val="18"/>
                <w:color w:val="auto"/>
              </w:rPr>
              <w:t>Broadcast Television</w:t>
            </w:r>
            <w:r>
              <w:rPr>
                <w:rFonts w:ascii="Arial" w:cs="Arial" w:eastAsia="Arial" w:hAnsi="Arial"/>
                <w:sz w:val="25"/>
                <w:szCs w:val="25"/>
                <w:color w:val="auto"/>
                <w:vertAlign w:val="superscript"/>
              </w:rPr>
              <w:t>(d)</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5,888</w:t>
            </w:r>
          </w:p>
        </w:tc>
        <w:tc>
          <w:tcPr>
            <w:tcW w:w="50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924</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75</w:t>
            </w:r>
          </w:p>
        </w:tc>
      </w:tr>
      <w:tr>
        <w:trPr>
          <w:trHeight w:val="230"/>
        </w:trPr>
        <w:tc>
          <w:tcPr>
            <w:tcW w:w="4920" w:type="dxa"/>
            <w:vAlign w:val="bottom"/>
          </w:tcPr>
          <w:p>
            <w:pPr>
              <w:ind w:left="40"/>
              <w:spacing w:after="0"/>
              <w:rPr>
                <w:sz w:val="20"/>
                <w:szCs w:val="20"/>
                <w:color w:val="auto"/>
              </w:rPr>
            </w:pPr>
            <w:r>
              <w:rPr>
                <w:rFonts w:ascii="Arial" w:cs="Arial" w:eastAsia="Arial" w:hAnsi="Arial"/>
                <w:sz w:val="18"/>
                <w:szCs w:val="18"/>
                <w:color w:val="auto"/>
              </w:rPr>
              <w:t>Filmed Entertainment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3,357</w:t>
            </w:r>
          </w:p>
        </w:tc>
        <w:tc>
          <w:tcPr>
            <w:tcW w:w="50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341</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14</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Theme Parks</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2,642</w:t>
            </w:r>
          </w:p>
        </w:tc>
        <w:tc>
          <w:tcPr>
            <w:tcW w:w="50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1,064</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542</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135</w:t>
            </w:r>
          </w:p>
        </w:tc>
      </w:tr>
      <w:tr>
        <w:trPr>
          <w:trHeight w:val="310"/>
        </w:trPr>
        <w:tc>
          <w:tcPr>
            <w:tcW w:w="4920" w:type="dxa"/>
            <w:vAlign w:val="bottom"/>
          </w:tcPr>
          <w:p>
            <w:pPr>
              <w:ind w:left="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5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(336)</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24"/>
                <w:szCs w:val="24"/>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63</w:t>
            </w:r>
          </w:p>
        </w:tc>
      </w:tr>
      <w:tr>
        <w:trPr>
          <w:trHeight w:val="257"/>
        </w:trPr>
        <w:tc>
          <w:tcPr>
            <w:tcW w:w="492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(b)(d)</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17,843</w:t>
            </w:r>
          </w:p>
        </w:tc>
        <w:tc>
          <w:tcPr>
            <w:tcW w:w="500" w:type="dxa"/>
            <w:vAlign w:val="bottom"/>
          </w:tcPr>
          <w:p>
            <w:pPr>
              <w:jc w:val="right"/>
              <w:ind w:right="276"/>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4,445</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1,063</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730</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b w:val="1"/>
                <w:bCs w:val="1"/>
                <w:color w:val="auto"/>
              </w:rPr>
              <w:t>296</w:t>
            </w:r>
          </w:p>
        </w:tc>
      </w:tr>
      <w:tr>
        <w:trPr>
          <w:trHeight w:val="34"/>
        </w:trPr>
        <w:tc>
          <w:tcPr>
            <w:tcW w:w="4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4"/>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602"/>
        </w:trPr>
        <w:tc>
          <w:tcPr>
            <w:tcW w:w="49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Six Months Ended June 30, 2017</w:t>
            </w: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56"/>
        </w:trPr>
        <w:tc>
          <w:tcPr>
            <w:tcW w:w="4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14"/>
              <w:spacing w:after="0" w:line="157" w:lineRule="exact"/>
              <w:rPr>
                <w:sz w:val="20"/>
                <w:szCs w:val="20"/>
                <w:color w:val="auto"/>
              </w:rPr>
            </w:pPr>
            <w:r>
              <w:rPr>
                <w:rFonts w:ascii="Arial" w:cs="Arial" w:eastAsia="Arial" w:hAnsi="Arial"/>
                <w:sz w:val="14"/>
                <w:szCs w:val="14"/>
                <w:color w:val="auto"/>
                <w:w w:val="92"/>
              </w:rPr>
              <w:t>Depreciation and</w:t>
            </w:r>
          </w:p>
        </w:tc>
        <w:tc>
          <w:tcPr>
            <w:tcW w:w="280" w:type="dxa"/>
            <w:vAlign w:val="bottom"/>
          </w:tcPr>
          <w:p>
            <w:pPr>
              <w:spacing w:after="0"/>
              <w:rPr>
                <w:sz w:val="13"/>
                <w:szCs w:val="13"/>
                <w:color w:val="auto"/>
              </w:rPr>
            </w:pPr>
          </w:p>
        </w:tc>
        <w:tc>
          <w:tcPr>
            <w:tcW w:w="980" w:type="dxa"/>
            <w:vAlign w:val="bottom"/>
          </w:tcPr>
          <w:p>
            <w:pPr>
              <w:jc w:val="center"/>
              <w:ind w:right="114"/>
              <w:spacing w:after="0" w:line="157" w:lineRule="exact"/>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3"/>
                <w:szCs w:val="13"/>
                <w:color w:val="auto"/>
              </w:rPr>
            </w:pPr>
          </w:p>
        </w:tc>
        <w:tc>
          <w:tcPr>
            <w:tcW w:w="1140" w:type="dxa"/>
            <w:vAlign w:val="bottom"/>
          </w:tcPr>
          <w:p>
            <w:pPr>
              <w:jc w:val="center"/>
              <w:ind w:right="34"/>
              <w:spacing w:after="0" w:line="157" w:lineRule="exact"/>
              <w:rPr>
                <w:sz w:val="20"/>
                <w:szCs w:val="20"/>
                <w:color w:val="auto"/>
              </w:rPr>
            </w:pPr>
            <w:r>
              <w:rPr>
                <w:rFonts w:ascii="Arial" w:cs="Arial" w:eastAsia="Arial" w:hAnsi="Arial"/>
                <w:sz w:val="14"/>
                <w:szCs w:val="14"/>
                <w:color w:val="auto"/>
                <w:w w:val="91"/>
              </w:rPr>
              <w:t>Cash Paid for</w:t>
            </w:r>
          </w:p>
        </w:tc>
      </w:tr>
      <w:tr>
        <w:trPr>
          <w:trHeight w:val="188"/>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Revenue</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Adjusted EBITDA</w:t>
            </w:r>
            <w:r>
              <w:rPr>
                <w:rFonts w:ascii="Arial" w:cs="Arial" w:eastAsia="Arial" w:hAnsi="Arial"/>
                <w:sz w:val="12"/>
                <w:szCs w:val="12"/>
                <w:color w:val="auto"/>
              </w:rPr>
              <w:t>(c)</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97"/>
              </w:rPr>
              <w:t>Amortization</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color w:val="auto"/>
                <w:w w:val="92"/>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91"/>
              </w:rPr>
              <w:t>Intangible Assets</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Cable Networks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5,336</w:t>
            </w:r>
          </w:p>
        </w:tc>
        <w:tc>
          <w:tcPr>
            <w:tcW w:w="5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2,170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395</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7</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Broadcast Television</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4,449</w:t>
            </w:r>
          </w:p>
        </w:tc>
        <w:tc>
          <w:tcPr>
            <w:tcW w:w="50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738</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7</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Filmed Entertainment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4,109</w:t>
            </w:r>
          </w:p>
        </w:tc>
        <w:tc>
          <w:tcPr>
            <w:tcW w:w="50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658</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11</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Theme Parks</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2,432</w:t>
            </w:r>
          </w:p>
        </w:tc>
        <w:tc>
          <w:tcPr>
            <w:tcW w:w="50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948</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328</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472</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39</w:t>
            </w:r>
          </w:p>
        </w:tc>
      </w:tr>
      <w:tr>
        <w:trPr>
          <w:trHeight w:val="310"/>
        </w:trPr>
        <w:tc>
          <w:tcPr>
            <w:tcW w:w="4920" w:type="dxa"/>
            <w:vAlign w:val="bottom"/>
          </w:tcPr>
          <w:p>
            <w:pPr>
              <w:ind w:left="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5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(420)</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195</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24"/>
                <w:szCs w:val="24"/>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64</w:t>
            </w:r>
          </w:p>
        </w:tc>
      </w:tr>
      <w:tr>
        <w:trPr>
          <w:trHeight w:val="257"/>
        </w:trPr>
        <w:tc>
          <w:tcPr>
            <w:tcW w:w="492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16,171</w:t>
            </w:r>
          </w:p>
        </w:tc>
        <w:tc>
          <w:tcPr>
            <w:tcW w:w="500" w:type="dxa"/>
            <w:vAlign w:val="bottom"/>
          </w:tcPr>
          <w:p>
            <w:pPr>
              <w:jc w:val="right"/>
              <w:ind w:right="276"/>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4,093</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1,028</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623</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b w:val="1"/>
                <w:bCs w:val="1"/>
                <w:color w:val="auto"/>
              </w:rPr>
              <w:t>128</w:t>
            </w:r>
          </w:p>
        </w:tc>
      </w:tr>
      <w:tr>
        <w:trPr>
          <w:trHeight w:val="34"/>
        </w:trPr>
        <w:tc>
          <w:tcPr>
            <w:tcW w:w="4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57"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Headquarters and Other activities include costs associated with overhead, allocations, personnel costs and headquarter initiatives.</w:t>
      </w:r>
    </w:p>
    <w:p>
      <w:pPr>
        <w:spacing w:after="0" w:line="68" w:lineRule="exact"/>
        <w:rPr>
          <w:rFonts w:ascii="Arial" w:cs="Arial" w:eastAsia="Arial" w:hAnsi="Arial"/>
          <w:sz w:val="14"/>
          <w:szCs w:val="14"/>
          <w:color w:val="auto"/>
        </w:rPr>
      </w:pPr>
    </w:p>
    <w:p>
      <w:pPr>
        <w:jc w:val="both"/>
        <w:ind w:left="340" w:hanging="332"/>
        <w:spacing w:after="0" w:line="257"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which consisted primarily of the licensing of film and television content from our Filmed Entertainment and Broadcast Television segments to our Cable Networks segment; for segment reporting, this revenue is recognized as the programming rights asset for the licensed content is amortized based on third party revenue.</w:t>
      </w:r>
    </w:p>
    <w:p>
      <w:pPr>
        <w:spacing w:after="0" w:line="36" w:lineRule="exact"/>
        <w:rPr>
          <w:rFonts w:ascii="Arial" w:cs="Arial" w:eastAsia="Arial" w:hAnsi="Arial"/>
          <w:sz w:val="14"/>
          <w:szCs w:val="14"/>
          <w:color w:val="auto"/>
        </w:rPr>
      </w:pPr>
    </w:p>
    <w:p>
      <w:pPr>
        <w:jc w:val="both"/>
        <w:ind w:left="340" w:hanging="332"/>
        <w:spacing w:after="0" w:line="273" w:lineRule="auto"/>
        <w:tabs>
          <w:tab w:leader="none" w:pos="3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We use Adjusted EBITDA as the measure of profit or loss for our operating segments. Adjusted EBITDA is defined as net income attributable to NBCUniversal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Our reconciliation of the aggregate amount of Adjusted EBITDA for our reportable segments to consolidated income before income taxes is presented in the table below.</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40" w:type="dxa"/>
            <w:vAlign w:val="bottom"/>
            <w:gridSpan w:val="2"/>
          </w:tcPr>
          <w:p>
            <w:pPr>
              <w:jc w:val="right"/>
              <w:ind w:right="248"/>
              <w:spacing w:after="0"/>
              <w:rPr>
                <w:sz w:val="20"/>
                <w:szCs w:val="20"/>
                <w:color w:val="auto"/>
              </w:rPr>
            </w:pPr>
            <w:r>
              <w:rPr>
                <w:rFonts w:ascii="Arial" w:cs="Arial" w:eastAsia="Arial" w:hAnsi="Arial"/>
                <w:sz w:val="14"/>
                <w:szCs w:val="14"/>
                <w:color w:val="auto"/>
                <w:w w:val="91"/>
              </w:rPr>
              <w:t>Three Months Ended</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w w:val="95"/>
              </w:rPr>
              <w:t>Six Months Ended</w:t>
            </w:r>
          </w:p>
        </w:tc>
        <w:tc>
          <w:tcPr>
            <w:tcW w:w="800" w:type="dxa"/>
            <w:vAlign w:val="bottom"/>
          </w:tcPr>
          <w:p>
            <w:pPr>
              <w:spacing w:after="0"/>
              <w:rPr>
                <w:sz w:val="14"/>
                <w:szCs w:val="14"/>
                <w:color w:val="auto"/>
              </w:rPr>
            </w:pPr>
          </w:p>
        </w:tc>
      </w:tr>
      <w:tr>
        <w:trPr>
          <w:trHeight w:val="188"/>
        </w:trPr>
        <w:tc>
          <w:tcPr>
            <w:tcW w:w="49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628"/>
              <w:spacing w:after="0"/>
              <w:rPr>
                <w:sz w:val="20"/>
                <w:szCs w:val="20"/>
                <w:color w:val="auto"/>
              </w:rPr>
            </w:pPr>
            <w:r>
              <w:rPr>
                <w:rFonts w:ascii="Arial" w:cs="Arial" w:eastAsia="Arial" w:hAnsi="Arial"/>
                <w:sz w:val="14"/>
                <w:szCs w:val="14"/>
                <w:color w:val="auto"/>
              </w:rPr>
              <w:t>June 30</w:t>
            </w: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248"/>
              <w:spacing w:after="0"/>
              <w:rPr>
                <w:sz w:val="20"/>
                <w:szCs w:val="20"/>
                <w:color w:val="auto"/>
              </w:rPr>
            </w:pPr>
            <w:r>
              <w:rPr>
                <w:rFonts w:ascii="Arial" w:cs="Arial" w:eastAsia="Arial" w:hAnsi="Arial"/>
                <w:sz w:val="14"/>
                <w:szCs w:val="14"/>
                <w:color w:val="auto"/>
              </w:rPr>
              <w:t>June 30</w:t>
            </w:r>
          </w:p>
        </w:tc>
        <w:tc>
          <w:tcPr>
            <w:tcW w:w="800" w:type="dxa"/>
            <w:vAlign w:val="bottom"/>
            <w:tcBorders>
              <w:bottom w:val="single" w:sz="8" w:color="auto"/>
            </w:tcBorders>
          </w:tcPr>
          <w:p>
            <w:pPr>
              <w:spacing w:after="0"/>
              <w:rPr>
                <w:sz w:val="16"/>
                <w:szCs w:val="16"/>
                <w:color w:val="auto"/>
              </w:rPr>
            </w:pPr>
          </w:p>
        </w:tc>
      </w:tr>
      <w:tr>
        <w:trPr>
          <w:trHeight w:val="264"/>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5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5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w w:val="96"/>
              </w:rPr>
              <w:t>2017</w:t>
            </w:r>
          </w:p>
        </w:tc>
      </w:tr>
      <w:tr>
        <w:trPr>
          <w:trHeight w:val="258"/>
        </w:trPr>
        <w:tc>
          <w:tcPr>
            <w:tcW w:w="490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2,160</w:t>
            </w:r>
          </w:p>
        </w:tc>
        <w:tc>
          <w:tcPr>
            <w:tcW w:w="96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128"/>
              <w:spacing w:after="0"/>
              <w:rPr>
                <w:sz w:val="20"/>
                <w:szCs w:val="20"/>
                <w:color w:val="auto"/>
              </w:rPr>
            </w:pPr>
            <w:r>
              <w:rPr>
                <w:rFonts w:ascii="Arial" w:cs="Arial" w:eastAsia="Arial" w:hAnsi="Arial"/>
                <w:sz w:val="14"/>
                <w:szCs w:val="14"/>
                <w:color w:val="auto"/>
                <w:w w:val="96"/>
              </w:rPr>
              <w:t>2,074</w:t>
            </w:r>
          </w:p>
        </w:tc>
        <w:tc>
          <w:tcPr>
            <w:tcW w:w="92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108"/>
              <w:spacing w:after="0"/>
              <w:rPr>
                <w:sz w:val="20"/>
                <w:szCs w:val="20"/>
                <w:color w:val="auto"/>
              </w:rPr>
            </w:pPr>
            <w:r>
              <w:rPr>
                <w:rFonts w:ascii="Arial" w:cs="Arial" w:eastAsia="Arial" w:hAnsi="Arial"/>
                <w:sz w:val="14"/>
                <w:szCs w:val="14"/>
                <w:color w:val="auto"/>
                <w:w w:val="96"/>
              </w:rPr>
              <w:t>4,445</w:t>
            </w:r>
          </w:p>
        </w:tc>
        <w:tc>
          <w:tcPr>
            <w:tcW w:w="5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4,093</w:t>
            </w:r>
          </w:p>
        </w:tc>
      </w:tr>
      <w:tr>
        <w:trPr>
          <w:trHeight w:val="270"/>
        </w:trPr>
        <w:tc>
          <w:tcPr>
            <w:tcW w:w="4900" w:type="dxa"/>
            <w:vAlign w:val="bottom"/>
          </w:tcPr>
          <w:p>
            <w:pPr>
              <w:ind w:left="20"/>
              <w:spacing w:after="0"/>
              <w:rPr>
                <w:sz w:val="20"/>
                <w:szCs w:val="20"/>
                <w:color w:val="auto"/>
              </w:rPr>
            </w:pPr>
            <w:r>
              <w:rPr>
                <w:rFonts w:ascii="Arial" w:cs="Arial" w:eastAsia="Arial" w:hAnsi="Arial"/>
                <w:sz w:val="14"/>
                <w:szCs w:val="14"/>
                <w:color w:val="auto"/>
              </w:rPr>
              <w:t>Depreciation</w:t>
            </w:r>
          </w:p>
        </w:tc>
        <w:tc>
          <w:tcPr>
            <w:tcW w:w="800" w:type="dxa"/>
            <w:vAlign w:val="bottom"/>
          </w:tcPr>
          <w:p>
            <w:pPr>
              <w:spacing w:after="0"/>
              <w:rPr>
                <w:sz w:val="23"/>
                <w:szCs w:val="23"/>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(258)</w:t>
            </w:r>
          </w:p>
        </w:tc>
        <w:tc>
          <w:tcPr>
            <w:tcW w:w="960" w:type="dxa"/>
            <w:vAlign w:val="bottom"/>
          </w:tcPr>
          <w:p>
            <w:pPr>
              <w:spacing w:after="0"/>
              <w:rPr>
                <w:sz w:val="23"/>
                <w:szCs w:val="23"/>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(265)</w:t>
            </w:r>
          </w:p>
        </w:tc>
        <w:tc>
          <w:tcPr>
            <w:tcW w:w="920" w:type="dxa"/>
            <w:vAlign w:val="bottom"/>
          </w:tcPr>
          <w:p>
            <w:pPr>
              <w:spacing w:after="0"/>
              <w:rPr>
                <w:sz w:val="23"/>
                <w:szCs w:val="23"/>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(500)</w:t>
            </w:r>
          </w:p>
        </w:tc>
        <w:tc>
          <w:tcPr>
            <w:tcW w:w="5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(496)</w:t>
            </w:r>
          </w:p>
        </w:tc>
      </w:tr>
      <w:tr>
        <w:trPr>
          <w:trHeight w:val="270"/>
        </w:trPr>
        <w:tc>
          <w:tcPr>
            <w:tcW w:w="490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800" w:type="dxa"/>
            <w:vAlign w:val="bottom"/>
          </w:tcPr>
          <w:p>
            <w:pPr>
              <w:spacing w:after="0"/>
              <w:rPr>
                <w:sz w:val="23"/>
                <w:szCs w:val="23"/>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(295)</w:t>
            </w:r>
          </w:p>
        </w:tc>
        <w:tc>
          <w:tcPr>
            <w:tcW w:w="960" w:type="dxa"/>
            <w:vAlign w:val="bottom"/>
          </w:tcPr>
          <w:p>
            <w:pPr>
              <w:spacing w:after="0"/>
              <w:rPr>
                <w:sz w:val="23"/>
                <w:szCs w:val="23"/>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(255)</w:t>
            </w:r>
          </w:p>
        </w:tc>
        <w:tc>
          <w:tcPr>
            <w:tcW w:w="920" w:type="dxa"/>
            <w:vAlign w:val="bottom"/>
          </w:tcPr>
          <w:p>
            <w:pPr>
              <w:spacing w:after="0"/>
              <w:rPr>
                <w:sz w:val="23"/>
                <w:szCs w:val="23"/>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(563)</w:t>
            </w:r>
          </w:p>
        </w:tc>
        <w:tc>
          <w:tcPr>
            <w:tcW w:w="5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(532)</w:t>
            </w:r>
          </w:p>
        </w:tc>
      </w:tr>
      <w:tr>
        <w:trPr>
          <w:trHeight w:val="270"/>
        </w:trPr>
        <w:tc>
          <w:tcPr>
            <w:tcW w:w="49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800" w:type="dxa"/>
            <w:vAlign w:val="bottom"/>
          </w:tcPr>
          <w:p>
            <w:pPr>
              <w:spacing w:after="0"/>
              <w:rPr>
                <w:sz w:val="23"/>
                <w:szCs w:val="23"/>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(133)</w:t>
            </w:r>
          </w:p>
        </w:tc>
        <w:tc>
          <w:tcPr>
            <w:tcW w:w="960" w:type="dxa"/>
            <w:vAlign w:val="bottom"/>
          </w:tcPr>
          <w:p>
            <w:pPr>
              <w:spacing w:after="0"/>
              <w:rPr>
                <w:sz w:val="23"/>
                <w:szCs w:val="23"/>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(149)</w:t>
            </w:r>
          </w:p>
        </w:tc>
        <w:tc>
          <w:tcPr>
            <w:tcW w:w="920" w:type="dxa"/>
            <w:vAlign w:val="bottom"/>
          </w:tcPr>
          <w:p>
            <w:pPr>
              <w:spacing w:after="0"/>
              <w:rPr>
                <w:sz w:val="23"/>
                <w:szCs w:val="23"/>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(260)</w:t>
            </w:r>
          </w:p>
        </w:tc>
        <w:tc>
          <w:tcPr>
            <w:tcW w:w="5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(292)</w:t>
            </w:r>
          </w:p>
        </w:tc>
      </w:tr>
      <w:tr>
        <w:trPr>
          <w:trHeight w:val="276"/>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Investment and other income (loss), net</w:t>
            </w:r>
          </w:p>
        </w:tc>
        <w:tc>
          <w:tcPr>
            <w:tcW w:w="8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(168)</w:t>
            </w:r>
          </w:p>
        </w:tc>
        <w:tc>
          <w:tcPr>
            <w:tcW w:w="9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w:t>
            </w: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(172)</w:t>
            </w:r>
          </w:p>
        </w:tc>
        <w:tc>
          <w:tcPr>
            <w:tcW w:w="5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r>
      <w:tr>
        <w:trPr>
          <w:trHeight w:val="277"/>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before income taxes</w:t>
            </w:r>
          </w:p>
        </w:tc>
        <w:tc>
          <w:tcPr>
            <w:tcW w:w="8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1,306</w:t>
            </w:r>
          </w:p>
        </w:tc>
        <w:tc>
          <w:tcPr>
            <w:tcW w:w="9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96"/>
              </w:rPr>
              <w:t>1,390</w:t>
            </w:r>
          </w:p>
        </w:tc>
        <w:tc>
          <w:tcPr>
            <w:tcW w:w="9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6"/>
              </w:rPr>
              <w:t>2,950</w:t>
            </w:r>
          </w:p>
        </w:tc>
        <w:tc>
          <w:tcPr>
            <w:tcW w:w="5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2,757</w:t>
            </w:r>
          </w:p>
        </w:tc>
      </w:tr>
    </w:tbl>
    <w:p>
      <w:pPr>
        <w:spacing w:after="0" w:line="49" w:lineRule="exact"/>
        <w:rPr>
          <w:sz w:val="20"/>
          <w:szCs w:val="20"/>
          <w:color w:val="auto"/>
        </w:rPr>
      </w:pPr>
    </w:p>
    <w:p>
      <w:pPr>
        <w:jc w:val="both"/>
        <w:ind w:left="340" w:hanging="332"/>
        <w:spacing w:after="0" w:line="257"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revenue and operating costs and expenses associated with our broadcast of the 2018 PyeongChang Olympics were reported in our Cable Networks and Broadcast Television segments. The revenue and operating costs and expenses associated with our broadcast of the 2018 Super Bowl were reported in our Broadcast Television segment. Included in Eliminations are transactions relating to these events that our Broadcast Television and Cable Networks segments enter into with our other segments.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121" w:right="23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Revenue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880" w:type="dxa"/>
            <w:vAlign w:val="bottom"/>
          </w:tcPr>
          <w:p>
            <w:pPr>
              <w:spacing w:after="0"/>
              <w:rPr>
                <w:sz w:val="14"/>
                <w:szCs w:val="14"/>
                <w:color w:val="auto"/>
              </w:rPr>
            </w:pPr>
          </w:p>
        </w:tc>
      </w:tr>
      <w:tr>
        <w:trPr>
          <w:trHeight w:val="188"/>
        </w:trPr>
        <w:tc>
          <w:tcPr>
            <w:tcW w:w="5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color w:val="auto"/>
                <w:w w:val="88"/>
              </w:rPr>
              <w:t>June 30</w:t>
            </w: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color w:val="auto"/>
                <w:w w:val="84"/>
              </w:rPr>
              <w:t>June 30</w:t>
            </w:r>
          </w:p>
        </w:tc>
        <w:tc>
          <w:tcPr>
            <w:tcW w:w="88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2018</w:t>
            </w:r>
          </w:p>
        </w:tc>
        <w:tc>
          <w:tcPr>
            <w:tcW w:w="8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color w:val="auto"/>
                <w:w w:val="96"/>
              </w:rPr>
              <w:t>2017</w:t>
            </w: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2018</w:t>
            </w:r>
          </w:p>
        </w:tc>
        <w:tc>
          <w:tcPr>
            <w:tcW w:w="8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color w:val="auto"/>
              </w:rPr>
              <w:t>2017</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1,684</w:t>
            </w:r>
          </w:p>
        </w:tc>
        <w:tc>
          <w:tcPr>
            <w:tcW w:w="860" w:type="dxa"/>
            <w:vAlign w:val="bottom"/>
          </w:tcPr>
          <w:p>
            <w:pPr>
              <w:jc w:val="right"/>
              <w:ind w:right="296"/>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1,550</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3,571</w:t>
            </w:r>
          </w:p>
        </w:tc>
        <w:tc>
          <w:tcPr>
            <w:tcW w:w="8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3,112</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938</w:t>
            </w:r>
          </w:p>
        </w:tc>
        <w:tc>
          <w:tcPr>
            <w:tcW w:w="86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906</w:t>
            </w: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1,926</w:t>
            </w:r>
          </w:p>
        </w:tc>
        <w:tc>
          <w:tcPr>
            <w:tcW w:w="8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1,732</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Content licensing and other</w:t>
            </w:r>
          </w:p>
        </w:tc>
        <w:tc>
          <w:tcPr>
            <w:tcW w:w="3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294</w:t>
            </w:r>
          </w:p>
        </w:tc>
        <w:tc>
          <w:tcPr>
            <w:tcW w:w="86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240</w:t>
            </w: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613</w:t>
            </w:r>
          </w:p>
        </w:tc>
        <w:tc>
          <w:tcPr>
            <w:tcW w:w="8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492</w:t>
            </w:r>
          </w:p>
        </w:tc>
      </w:tr>
      <w:tr>
        <w:trPr>
          <w:trHeight w:val="27"/>
        </w:trPr>
        <w:tc>
          <w:tcPr>
            <w:tcW w:w="5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 Cable Networks</w:t>
            </w: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2,916</w:t>
            </w:r>
          </w:p>
        </w:tc>
        <w:tc>
          <w:tcPr>
            <w:tcW w:w="860" w:type="dxa"/>
            <w:vAlign w:val="bottom"/>
          </w:tcPr>
          <w:p>
            <w:pPr>
              <w:spacing w:after="0"/>
              <w:rPr>
                <w:sz w:val="20"/>
                <w:szCs w:val="20"/>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2,696</w:t>
            </w: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6,110</w:t>
            </w:r>
          </w:p>
        </w:tc>
        <w:tc>
          <w:tcPr>
            <w:tcW w:w="80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5,336</w:t>
            </w:r>
          </w:p>
        </w:tc>
      </w:tr>
      <w:tr>
        <w:trPr>
          <w:trHeight w:val="432"/>
        </w:trPr>
        <w:tc>
          <w:tcPr>
            <w:tcW w:w="526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1,387</w:t>
            </w:r>
          </w:p>
        </w:tc>
        <w:tc>
          <w:tcPr>
            <w:tcW w:w="860" w:type="dxa"/>
            <w:vAlign w:val="bottom"/>
          </w:tcPr>
          <w:p>
            <w:pPr>
              <w:spacing w:after="0"/>
              <w:rPr>
                <w:sz w:val="24"/>
                <w:szCs w:val="24"/>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1,270</w:t>
            </w: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3,752</w:t>
            </w:r>
          </w:p>
        </w:tc>
        <w:tc>
          <w:tcPr>
            <w:tcW w:w="800" w:type="dxa"/>
            <w:vAlign w:val="bottom"/>
          </w:tcPr>
          <w:p>
            <w:pPr>
              <w:spacing w:after="0"/>
              <w:rPr>
                <w:sz w:val="24"/>
                <w:szCs w:val="24"/>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2,549</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481</w:t>
            </w:r>
          </w:p>
        </w:tc>
        <w:tc>
          <w:tcPr>
            <w:tcW w:w="86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523</w:t>
            </w: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1,003</w:t>
            </w:r>
          </w:p>
        </w:tc>
        <w:tc>
          <w:tcPr>
            <w:tcW w:w="8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1,026</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Distribution and other</w:t>
            </w:r>
          </w:p>
        </w:tc>
        <w:tc>
          <w:tcPr>
            <w:tcW w:w="3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523</w:t>
            </w:r>
          </w:p>
        </w:tc>
        <w:tc>
          <w:tcPr>
            <w:tcW w:w="86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448</w:t>
            </w: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1,133</w:t>
            </w:r>
          </w:p>
        </w:tc>
        <w:tc>
          <w:tcPr>
            <w:tcW w:w="8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874</w:t>
            </w:r>
          </w:p>
        </w:tc>
      </w:tr>
      <w:tr>
        <w:trPr>
          <w:trHeight w:val="27"/>
        </w:trPr>
        <w:tc>
          <w:tcPr>
            <w:tcW w:w="5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 Broadcast Television</w:t>
            </w: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2,391</w:t>
            </w:r>
          </w:p>
        </w:tc>
        <w:tc>
          <w:tcPr>
            <w:tcW w:w="860" w:type="dxa"/>
            <w:vAlign w:val="bottom"/>
          </w:tcPr>
          <w:p>
            <w:pPr>
              <w:spacing w:after="0"/>
              <w:rPr>
                <w:sz w:val="20"/>
                <w:szCs w:val="20"/>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2,241</w:t>
            </w: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5,888</w:t>
            </w:r>
          </w:p>
        </w:tc>
        <w:tc>
          <w:tcPr>
            <w:tcW w:w="80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4,449</w:t>
            </w:r>
          </w:p>
        </w:tc>
      </w:tr>
      <w:tr>
        <w:trPr>
          <w:trHeight w:val="432"/>
        </w:trPr>
        <w:tc>
          <w:tcPr>
            <w:tcW w:w="5260" w:type="dxa"/>
            <w:vAlign w:val="bottom"/>
          </w:tcPr>
          <w:p>
            <w:pPr>
              <w:ind w:left="40"/>
              <w:spacing w:after="0"/>
              <w:rPr>
                <w:sz w:val="20"/>
                <w:szCs w:val="20"/>
                <w:color w:val="auto"/>
              </w:rPr>
            </w:pPr>
            <w:r>
              <w:rPr>
                <w:rFonts w:ascii="Arial" w:cs="Arial" w:eastAsia="Arial" w:hAnsi="Arial"/>
                <w:sz w:val="18"/>
                <w:szCs w:val="18"/>
                <w:color w:val="auto"/>
              </w:rPr>
              <w:t>Theatrical</w:t>
            </w:r>
          </w:p>
        </w:tc>
        <w:tc>
          <w:tcPr>
            <w:tcW w:w="3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540</w:t>
            </w:r>
          </w:p>
        </w:tc>
        <w:tc>
          <w:tcPr>
            <w:tcW w:w="860" w:type="dxa"/>
            <w:vAlign w:val="bottom"/>
          </w:tcPr>
          <w:p>
            <w:pPr>
              <w:spacing w:after="0"/>
              <w:rPr>
                <w:sz w:val="24"/>
                <w:szCs w:val="24"/>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837</w:t>
            </w: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963</w:t>
            </w:r>
          </w:p>
        </w:tc>
        <w:tc>
          <w:tcPr>
            <w:tcW w:w="800" w:type="dxa"/>
            <w:vAlign w:val="bottom"/>
          </w:tcPr>
          <w:p>
            <w:pPr>
              <w:spacing w:after="0"/>
              <w:rPr>
                <w:sz w:val="24"/>
                <w:szCs w:val="24"/>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1,488</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648</w:t>
            </w:r>
          </w:p>
        </w:tc>
        <w:tc>
          <w:tcPr>
            <w:tcW w:w="86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684</w:t>
            </w: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1,381</w:t>
            </w:r>
          </w:p>
        </w:tc>
        <w:tc>
          <w:tcPr>
            <w:tcW w:w="8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1,418</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Home entertainment</w:t>
            </w:r>
          </w:p>
        </w:tc>
        <w:tc>
          <w:tcPr>
            <w:tcW w:w="3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w:t>
            </w:r>
          </w:p>
        </w:tc>
        <w:tc>
          <w:tcPr>
            <w:tcW w:w="86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334</w:t>
            </w: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473</w:t>
            </w:r>
          </w:p>
        </w:tc>
        <w:tc>
          <w:tcPr>
            <w:tcW w:w="8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620</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297</w:t>
            </w:r>
          </w:p>
        </w:tc>
        <w:tc>
          <w:tcPr>
            <w:tcW w:w="86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287</w:t>
            </w: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540</w:t>
            </w:r>
          </w:p>
        </w:tc>
        <w:tc>
          <w:tcPr>
            <w:tcW w:w="8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583</w:t>
            </w:r>
          </w:p>
        </w:tc>
      </w:tr>
      <w:tr>
        <w:trPr>
          <w:trHeight w:val="27"/>
        </w:trPr>
        <w:tc>
          <w:tcPr>
            <w:tcW w:w="5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 Filmed Entertainment</w:t>
            </w: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1,710</w:t>
            </w:r>
          </w:p>
        </w:tc>
        <w:tc>
          <w:tcPr>
            <w:tcW w:w="860" w:type="dxa"/>
            <w:vAlign w:val="bottom"/>
          </w:tcPr>
          <w:p>
            <w:pPr>
              <w:spacing w:after="0"/>
              <w:rPr>
                <w:sz w:val="20"/>
                <w:szCs w:val="20"/>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2,142</w:t>
            </w: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3,357</w:t>
            </w:r>
          </w:p>
        </w:tc>
        <w:tc>
          <w:tcPr>
            <w:tcW w:w="80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4,109</w:t>
            </w:r>
          </w:p>
        </w:tc>
      </w:tr>
      <w:tr>
        <w:trPr>
          <w:trHeight w:val="432"/>
        </w:trPr>
        <w:tc>
          <w:tcPr>
            <w:tcW w:w="5260" w:type="dxa"/>
            <w:vAlign w:val="bottom"/>
          </w:tcPr>
          <w:p>
            <w:pPr>
              <w:ind w:left="40"/>
              <w:spacing w:after="0"/>
              <w:rPr>
                <w:sz w:val="20"/>
                <w:szCs w:val="20"/>
                <w:color w:val="auto"/>
              </w:rPr>
            </w:pPr>
            <w:r>
              <w:rPr>
                <w:rFonts w:ascii="Arial" w:cs="Arial" w:eastAsia="Arial" w:hAnsi="Arial"/>
                <w:sz w:val="18"/>
                <w:szCs w:val="18"/>
                <w:color w:val="auto"/>
              </w:rPr>
              <w:t>Total Theme Parks</w:t>
            </w:r>
          </w:p>
        </w:tc>
        <w:tc>
          <w:tcPr>
            <w:tcW w:w="3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1,361</w:t>
            </w:r>
          </w:p>
        </w:tc>
        <w:tc>
          <w:tcPr>
            <w:tcW w:w="860" w:type="dxa"/>
            <w:vAlign w:val="bottom"/>
          </w:tcPr>
          <w:p>
            <w:pPr>
              <w:spacing w:after="0"/>
              <w:rPr>
                <w:sz w:val="24"/>
                <w:szCs w:val="24"/>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1,314</w:t>
            </w: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2,642</w:t>
            </w:r>
          </w:p>
        </w:tc>
        <w:tc>
          <w:tcPr>
            <w:tcW w:w="800" w:type="dxa"/>
            <w:vAlign w:val="bottom"/>
          </w:tcPr>
          <w:p>
            <w:pPr>
              <w:spacing w:after="0"/>
              <w:rPr>
                <w:sz w:val="24"/>
                <w:szCs w:val="24"/>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2,432</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Headquarters and Other</w:t>
            </w:r>
          </w:p>
        </w:tc>
        <w:tc>
          <w:tcPr>
            <w:tcW w:w="3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860" w:type="dxa"/>
            <w:vAlign w:val="bottom"/>
          </w:tcPr>
          <w:p>
            <w:pPr>
              <w:spacing w:after="0"/>
              <w:rPr>
                <w:sz w:val="23"/>
                <w:szCs w:val="23"/>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w:t>
            </w:r>
          </w:p>
        </w:tc>
        <w:tc>
          <w:tcPr>
            <w:tcW w:w="8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17</w:t>
            </w:r>
          </w:p>
        </w:tc>
      </w:tr>
      <w:tr>
        <w:trPr>
          <w:trHeight w:val="297"/>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(a)</w:t>
            </w:r>
          </w:p>
        </w:tc>
        <w:tc>
          <w:tcPr>
            <w:tcW w:w="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right"/>
              <w:ind w:right="716"/>
              <w:spacing w:after="0"/>
              <w:rPr>
                <w:sz w:val="20"/>
                <w:szCs w:val="20"/>
                <w:color w:val="auto"/>
              </w:rPr>
            </w:pPr>
            <w:r>
              <w:rPr>
                <w:rFonts w:ascii="Arial" w:cs="Arial" w:eastAsia="Arial" w:hAnsi="Arial"/>
                <w:sz w:val="18"/>
                <w:szCs w:val="18"/>
                <w:color w:val="auto"/>
              </w:rPr>
              <w:t>(80)</w:t>
            </w: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(84)</w:t>
            </w:r>
          </w:p>
        </w:tc>
        <w:tc>
          <w:tcPr>
            <w:tcW w:w="4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right"/>
              <w:ind w:right="656"/>
              <w:spacing w:after="0"/>
              <w:rPr>
                <w:sz w:val="20"/>
                <w:szCs w:val="20"/>
                <w:color w:val="auto"/>
              </w:rPr>
            </w:pPr>
            <w:r>
              <w:rPr>
                <w:rFonts w:ascii="Arial" w:cs="Arial" w:eastAsia="Arial" w:hAnsi="Arial"/>
                <w:sz w:val="18"/>
                <w:szCs w:val="18"/>
                <w:color w:val="auto"/>
              </w:rPr>
              <w:t>(183)</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8,313</w:t>
            </w:r>
          </w:p>
        </w:tc>
        <w:tc>
          <w:tcPr>
            <w:tcW w:w="860" w:type="dxa"/>
            <w:vAlign w:val="bottom"/>
          </w:tcPr>
          <w:p>
            <w:pPr>
              <w:jc w:val="right"/>
              <w:ind w:right="296"/>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1"/>
              <w:spacing w:after="0"/>
              <w:rPr>
                <w:sz w:val="20"/>
                <w:szCs w:val="20"/>
                <w:color w:val="auto"/>
              </w:rPr>
            </w:pPr>
            <w:r>
              <w:rPr>
                <w:rFonts w:ascii="Arial" w:cs="Arial" w:eastAsia="Arial" w:hAnsi="Arial"/>
                <w:sz w:val="18"/>
                <w:szCs w:val="18"/>
                <w:b w:val="1"/>
                <w:bCs w:val="1"/>
                <w:color w:val="auto"/>
              </w:rPr>
              <w:t>8,318</w:t>
            </w:r>
          </w:p>
        </w:tc>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17,843</w:t>
            </w:r>
          </w:p>
        </w:tc>
        <w:tc>
          <w:tcPr>
            <w:tcW w:w="800" w:type="dxa"/>
            <w:vAlign w:val="bottom"/>
          </w:tcPr>
          <w:p>
            <w:pPr>
              <w:jc w:val="right"/>
              <w:ind w:right="276"/>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16,171</w:t>
            </w:r>
          </w:p>
        </w:tc>
      </w:tr>
      <w:tr>
        <w:trPr>
          <w:trHeight w:val="34"/>
        </w:trPr>
        <w:tc>
          <w:tcPr>
            <w:tcW w:w="5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(a) Included in Eliminations are transactions that our segments enter into with one another. See Note 2 for a description of these transactions.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operate primarily in the United States, but also in select international markets primarily in Europe and Asia. The table below summarizes revenue by geographic location.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880" w:type="dxa"/>
            <w:vAlign w:val="bottom"/>
          </w:tcPr>
          <w:p>
            <w:pPr>
              <w:spacing w:after="0"/>
              <w:rPr>
                <w:sz w:val="14"/>
                <w:szCs w:val="14"/>
                <w:color w:val="auto"/>
              </w:rPr>
            </w:pPr>
          </w:p>
        </w:tc>
      </w:tr>
      <w:tr>
        <w:trPr>
          <w:trHeight w:val="188"/>
        </w:trPr>
        <w:tc>
          <w:tcPr>
            <w:tcW w:w="5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color w:val="auto"/>
                <w:w w:val="88"/>
              </w:rPr>
              <w:t>June 30</w:t>
            </w:r>
          </w:p>
        </w:tc>
        <w:tc>
          <w:tcPr>
            <w:tcW w:w="9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color w:val="auto"/>
                <w:w w:val="84"/>
              </w:rPr>
              <w:t>June 30</w:t>
            </w:r>
          </w:p>
        </w:tc>
        <w:tc>
          <w:tcPr>
            <w:tcW w:w="88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color w:val="auto"/>
              </w:rPr>
              <w:t>2018</w:t>
            </w:r>
          </w:p>
        </w:tc>
        <w:tc>
          <w:tcPr>
            <w:tcW w:w="8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w w:val="96"/>
              </w:rPr>
              <w:t>2017</w:t>
            </w: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color w:val="auto"/>
              </w:rPr>
              <w:t>2018</w:t>
            </w:r>
          </w:p>
        </w:tc>
        <w:tc>
          <w:tcPr>
            <w:tcW w:w="8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rPr>
              <w:t>2017</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6,533</w:t>
            </w:r>
          </w:p>
        </w:tc>
        <w:tc>
          <w:tcPr>
            <w:tcW w:w="860" w:type="dxa"/>
            <w:vAlign w:val="bottom"/>
          </w:tcPr>
          <w:p>
            <w:pPr>
              <w:jc w:val="right"/>
              <w:ind w:right="29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6,139</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14,187</w:t>
            </w:r>
          </w:p>
        </w:tc>
        <w:tc>
          <w:tcPr>
            <w:tcW w:w="8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12,256</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1,780</w:t>
            </w:r>
          </w:p>
        </w:tc>
        <w:tc>
          <w:tcPr>
            <w:tcW w:w="860" w:type="dxa"/>
            <w:vAlign w:val="bottom"/>
          </w:tcPr>
          <w:p>
            <w:pPr>
              <w:spacing w:after="0"/>
              <w:rPr>
                <w:sz w:val="23"/>
                <w:szCs w:val="23"/>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2,179</w:t>
            </w:r>
          </w:p>
        </w:tc>
        <w:tc>
          <w:tcPr>
            <w:tcW w:w="4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3,656</w:t>
            </w:r>
          </w:p>
        </w:tc>
        <w:tc>
          <w:tcPr>
            <w:tcW w:w="800" w:type="dxa"/>
            <w:vAlign w:val="bottom"/>
          </w:tcPr>
          <w:p>
            <w:pPr>
              <w:spacing w:after="0"/>
              <w:rPr>
                <w:sz w:val="23"/>
                <w:szCs w:val="23"/>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3,915</w:t>
            </w:r>
          </w:p>
        </w:tc>
      </w:tr>
      <w:tr>
        <w:trPr>
          <w:trHeight w:val="27"/>
        </w:trPr>
        <w:tc>
          <w:tcPr>
            <w:tcW w:w="5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8,313</w:t>
            </w:r>
          </w:p>
        </w:tc>
        <w:tc>
          <w:tcPr>
            <w:tcW w:w="860" w:type="dxa"/>
            <w:vAlign w:val="bottom"/>
          </w:tcPr>
          <w:p>
            <w:pPr>
              <w:jc w:val="right"/>
              <w:ind w:right="296"/>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74"/>
              <w:spacing w:after="0"/>
              <w:rPr>
                <w:sz w:val="20"/>
                <w:szCs w:val="20"/>
                <w:color w:val="auto"/>
              </w:rPr>
            </w:pPr>
            <w:r>
              <w:rPr>
                <w:rFonts w:ascii="Arial" w:cs="Arial" w:eastAsia="Arial" w:hAnsi="Arial"/>
                <w:sz w:val="18"/>
                <w:szCs w:val="18"/>
                <w:b w:val="1"/>
                <w:bCs w:val="1"/>
                <w:color w:val="auto"/>
              </w:rPr>
              <w:t>8,318</w:t>
            </w:r>
          </w:p>
        </w:tc>
        <w:tc>
          <w:tcPr>
            <w:tcW w:w="4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17,843</w:t>
            </w:r>
          </w:p>
        </w:tc>
        <w:tc>
          <w:tcPr>
            <w:tcW w:w="800" w:type="dxa"/>
            <w:vAlign w:val="bottom"/>
          </w:tcPr>
          <w:p>
            <w:pPr>
              <w:jc w:val="right"/>
              <w:ind w:right="276"/>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4"/>
              <w:spacing w:after="0"/>
              <w:rPr>
                <w:sz w:val="20"/>
                <w:szCs w:val="20"/>
                <w:color w:val="auto"/>
              </w:rPr>
            </w:pPr>
            <w:r>
              <w:rPr>
                <w:rFonts w:ascii="Arial" w:cs="Arial" w:eastAsia="Arial" w:hAnsi="Arial"/>
                <w:sz w:val="18"/>
                <w:szCs w:val="18"/>
                <w:b w:val="1"/>
                <w:bCs w:val="1"/>
                <w:color w:val="auto"/>
              </w:rPr>
              <w:t>16,171</w:t>
            </w:r>
          </w:p>
        </w:tc>
      </w:tr>
      <w:tr>
        <w:trPr>
          <w:trHeight w:val="34"/>
        </w:trPr>
        <w:tc>
          <w:tcPr>
            <w:tcW w:w="5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No single customer accounted for a significant amount of revenue in any period presented.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Cable Networks segment generates distribution revenue from the distribution of our cable network programming to traditional and virtual multichannel video providers. Our Broadcast Television segment generates distribution revenue from the fees received under retransmission consent agreements and associated fees received from NBC-affiliated local broadcast television stations.</w:t>
      </w:r>
    </w:p>
    <w:p>
      <w:pPr>
        <w:spacing w:after="0" w:line="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Distribution revenue is recognized as programming is provided on a monthly basis, generally under multiyear agreements. Monthly fees received under distribution agreements with multichannel video providers are generally based on the number of subscribers. Payment terms and conditions vary by contract type, although terms generally include payment within 30 to 60 days.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Cable Networks and Broadcast Television segments generate advertising revenue from the sale of advertising on our cable and broadcast networks, our owned local broadcast television stations, and various digital properties.</w:t>
      </w:r>
    </w:p>
    <w:p>
      <w:pPr>
        <w:spacing w:after="0" w:line="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enter into advertising arrangements with customers and have determined that a contract exists once all terms and conditions are agreed upon, typically when the number of advertising units is specifically identified and the timing of airing is scheduled. Advertisements are generally aired or viewed within one year once all terms are agreed upon. Advertising revenue is recognized, net of agency commissions, in the period in which advertisements are aired or viewed and payment occurs thereafter, generally within 30 days. In some instances, we guarantee audience ratings for the advertisements. To the extent there is a shortfall in contracts where the ratings were guaranteed, a portion of the revenue is deferred until the shortfall is settled, typically by providing additional advertising units generally within one year of the original airing.</w:t>
      </w:r>
    </w:p>
    <w:p>
      <w:pPr>
        <w:sectPr>
          <w:pgSz w:w="11900" w:h="16838" w:orient="portrait"/>
          <w:cols w:equalWidth="0" w:num="1">
            <w:col w:w="11420"/>
          </w:cols>
          <w:pgMar w:left="240" w:top="121" w:right="239" w:bottom="1440" w:gutter="0" w:footer="0" w:header="0"/>
        </w:sect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121" w:right="23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Theatrical</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Filmed Entertainment segment theatrical revenue is generated from the worldwide theatrical release of our produced and acquired films for exhibition in movie theaters and is affected by the timing, nature and number of films released in movie theaters and their acceptance by audiences. Theatrical revenue is also affected by the number of exhibition screens, ticket prices, the percentage of ticket sale retention by the exhibitors and the popularity of competing films at the time our films are released. We recognize theatrical revenue as the films are viewed and exhibited in theaters and payment generally occurs within 60 days after exhibition.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Content Licensing</w:t>
      </w:r>
    </w:p>
    <w:p>
      <w:pPr>
        <w:spacing w:after="0" w:line="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Cable Networks, Broadcast Television and Filmed Entertainment segments generate revenue from the licensing of our owned film and television content in the United States and internationally to cable, broadcast and premium networks and subscription video on demand services. Our content licensing agreements generally include fixed pricing and span multiple years. For example, following a film’s theatrical release, our Filmed Entertainment segment may license the exhibition rights of a film to different customers over multiple successive distribution windows.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recognize revenue when the content is delivered and available for use by the licensee. When the term of an existing agreement is renewed or extended, we recognize revenue at the later of when the content is available or when the renewal or extension period begins. Payment terms and conditions vary by contract type, although payments are generally collected over the license term. The amount of future revenue to be earned related to fixed pricing under existing agreements primarily relates to our Filmed Entertainment segment, which at any given time equals approximately 1 to 2 years of our annual Filmed Entertainment content licensing revenue. The substantial majority of this revenue will be recognized within 2 years. This amount may fluctuate from period to period depending on the timing of the release and the availability of content under existing agreements and may not represent the total content licensing revenue expected to be recognized as it does not include revenue from future agreements or from variable pricing or optional purchases under existing agreements.</w:t>
      </w:r>
    </w:p>
    <w:p>
      <w:pPr>
        <w:spacing w:after="0" w:line="4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our content licensing agreements that also include variable pricing, such as pricing based on the number of subscribers to a subscription video on demand service, we generally recognize revenue for variable pricing as the content is delivered and available and as the variable amounts become known.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Entertainment</w:t>
      </w:r>
    </w:p>
    <w:p>
      <w:pPr>
        <w:spacing w:after="0" w:line="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Filmed Entertainment segment generates revenue from the sale of our produced and acquired films on standard-definition digital video discs and Blu-ray discs (together, “DVDs”) and through digital distribution services. Our Cable Networks and Broadcast Television networks also generate revenue from the sale of owned programming on DVDs and through digital distribution services, which is reported in other revenue. We recognize revenue from DVD sales, net of estimated returns and customer incentives, on the date that DVDs are delivered to and made available for sale by retailers. Payment terms generally include payment within 60 to 90 days from delivery to the retailer.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Theme Parks segment generates revenue primarily from ticket sales and guest spending at our Universal theme parks in Orlando, Florida; Hollywood, California; and Osaka, Japan. Guest spending includes in-park spending on food, beverages and merchandise. We recognize revenue from theme park ticket sales when the tickets are used, generally within a year from the date of purchase. For annual passes, we generally recognize revenue on a straight-line basis over the period the pass is available to be used. We recognize revenue from guest spending at the point of sale.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summarize our accounts receivable and other balances that are not separately presented in our condensed consolidated balance sheet that relate to the recognition of revenue and collection of the related cash.</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3660" w:type="dxa"/>
            <w:vAlign w:val="bottom"/>
          </w:tcPr>
          <w:p>
            <w:pPr>
              <w:jc w:val="right"/>
              <w:spacing w:after="0"/>
              <w:rPr>
                <w:sz w:val="20"/>
                <w:szCs w:val="20"/>
                <w:color w:val="auto"/>
              </w:rPr>
            </w:pPr>
            <w:r>
              <w:rPr>
                <w:rFonts w:ascii="Arial" w:cs="Arial" w:eastAsia="Arial" w:hAnsi="Arial"/>
                <w:sz w:val="14"/>
                <w:szCs w:val="14"/>
                <w:color w:val="auto"/>
              </w:rPr>
              <w:t>June 30,</w:t>
            </w: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right"/>
              <w:ind w:right="277"/>
              <w:spacing w:after="0"/>
              <w:rPr>
                <w:sz w:val="20"/>
                <w:szCs w:val="20"/>
                <w:color w:val="auto"/>
              </w:rPr>
            </w:pPr>
            <w:r>
              <w:rPr>
                <w:rFonts w:ascii="Arial" w:cs="Arial" w:eastAsia="Arial" w:hAnsi="Arial"/>
                <w:sz w:val="14"/>
                <w:szCs w:val="14"/>
                <w:color w:val="auto"/>
              </w:rPr>
              <w:t>December 31,</w:t>
            </w:r>
          </w:p>
        </w:tc>
      </w:tr>
      <w:tr>
        <w:trPr>
          <w:trHeight w:val="188"/>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6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color w:val="auto"/>
              </w:rPr>
              <w:t>2017</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Receivables, gross</w:t>
            </w:r>
          </w:p>
        </w:tc>
        <w:tc>
          <w:tcPr>
            <w:tcW w:w="3660" w:type="dxa"/>
            <w:vAlign w:val="bottom"/>
          </w:tcPr>
          <w:p>
            <w:pPr>
              <w:jc w:val="right"/>
              <w:ind w:right="779"/>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w w:val="88"/>
              </w:rPr>
              <w:t>7,097</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7,055</w:t>
            </w:r>
          </w:p>
        </w:tc>
      </w:tr>
      <w:tr>
        <w:trPr>
          <w:trHeight w:val="270"/>
        </w:trPr>
        <w:tc>
          <w:tcPr>
            <w:tcW w:w="5520" w:type="dxa"/>
            <w:vAlign w:val="bottom"/>
          </w:tcPr>
          <w:p>
            <w:pPr>
              <w:ind w:left="40"/>
              <w:spacing w:after="0"/>
              <w:rPr>
                <w:sz w:val="20"/>
                <w:szCs w:val="20"/>
                <w:color w:val="auto"/>
              </w:rPr>
            </w:pPr>
            <w:r>
              <w:rPr>
                <w:rFonts w:ascii="Arial" w:cs="Arial" w:eastAsia="Arial" w:hAnsi="Arial"/>
                <w:sz w:val="18"/>
                <w:szCs w:val="18"/>
                <w:color w:val="auto"/>
              </w:rPr>
              <w:t>Less: Allowance for doubtful accounts</w:t>
            </w:r>
          </w:p>
        </w:tc>
        <w:tc>
          <w:tcPr>
            <w:tcW w:w="3660" w:type="dxa"/>
            <w:vAlign w:val="bottom"/>
          </w:tcPr>
          <w:p>
            <w:pPr>
              <w:spacing w:after="0"/>
              <w:rPr>
                <w:sz w:val="23"/>
                <w:szCs w:val="23"/>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95</w:t>
            </w:r>
          </w:p>
        </w:tc>
        <w:tc>
          <w:tcPr>
            <w:tcW w:w="360" w:type="dxa"/>
            <w:vAlign w:val="bottom"/>
          </w:tcPr>
          <w:p>
            <w:pPr>
              <w:spacing w:after="0"/>
              <w:rPr>
                <w:sz w:val="23"/>
                <w:szCs w:val="23"/>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88</w:t>
            </w:r>
          </w:p>
        </w:tc>
      </w:tr>
      <w:tr>
        <w:trPr>
          <w:trHeight w:val="27"/>
        </w:trPr>
        <w:tc>
          <w:tcPr>
            <w:tcW w:w="552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Receivables, net</w:t>
            </w:r>
          </w:p>
        </w:tc>
        <w:tc>
          <w:tcPr>
            <w:tcW w:w="3660" w:type="dxa"/>
            <w:vAlign w:val="bottom"/>
          </w:tcPr>
          <w:p>
            <w:pPr>
              <w:jc w:val="right"/>
              <w:ind w:right="779"/>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7,002</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37"/>
              <w:spacing w:after="0"/>
              <w:rPr>
                <w:sz w:val="20"/>
                <w:szCs w:val="20"/>
                <w:color w:val="auto"/>
              </w:rPr>
            </w:pPr>
            <w:r>
              <w:rPr>
                <w:rFonts w:ascii="Arial" w:cs="Arial" w:eastAsia="Arial" w:hAnsi="Arial"/>
                <w:sz w:val="18"/>
                <w:szCs w:val="18"/>
                <w:b w:val="1"/>
                <w:bCs w:val="1"/>
                <w:color w:val="auto"/>
              </w:rPr>
              <w:t>6,967</w:t>
            </w:r>
          </w:p>
        </w:tc>
      </w:tr>
      <w:tr>
        <w:trPr>
          <w:trHeight w:val="34"/>
        </w:trPr>
        <w:tc>
          <w:tcPr>
            <w:tcW w:w="552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1"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540" w:type="dxa"/>
            <w:vAlign w:val="bottom"/>
          </w:tcPr>
          <w:p>
            <w:pPr>
              <w:jc w:val="right"/>
              <w:spacing w:after="0"/>
              <w:rPr>
                <w:sz w:val="20"/>
                <w:szCs w:val="20"/>
                <w:color w:val="auto"/>
              </w:rPr>
            </w:pPr>
            <w:r>
              <w:rPr>
                <w:rFonts w:ascii="Arial" w:cs="Arial" w:eastAsia="Arial" w:hAnsi="Arial"/>
                <w:sz w:val="14"/>
                <w:szCs w:val="14"/>
                <w:color w:val="auto"/>
              </w:rPr>
              <w:t>June 30,</w:t>
            </w: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right"/>
              <w:ind w:right="279"/>
              <w:spacing w:after="0"/>
              <w:rPr>
                <w:sz w:val="20"/>
                <w:szCs w:val="20"/>
                <w:color w:val="auto"/>
              </w:rPr>
            </w:pPr>
            <w:r>
              <w:rPr>
                <w:rFonts w:ascii="Arial" w:cs="Arial" w:eastAsia="Arial" w:hAnsi="Arial"/>
                <w:sz w:val="14"/>
                <w:szCs w:val="14"/>
                <w:color w:val="auto"/>
              </w:rPr>
              <w:t>December 31,</w:t>
            </w:r>
          </w:p>
        </w:tc>
      </w:tr>
      <w:tr>
        <w:trPr>
          <w:trHeight w:val="188"/>
        </w:trPr>
        <w:tc>
          <w:tcPr>
            <w:tcW w:w="6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6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color w:val="auto"/>
              </w:rPr>
              <w:t>2017</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Noncurrent receivables, net (included in other noncurrent assets, net)</w:t>
            </w:r>
          </w:p>
        </w:tc>
        <w:tc>
          <w:tcPr>
            <w:tcW w:w="2540" w:type="dxa"/>
            <w:vAlign w:val="bottom"/>
          </w:tcPr>
          <w:p>
            <w:pPr>
              <w:jc w:val="right"/>
              <w:ind w:right="779"/>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w w:val="88"/>
              </w:rPr>
              <w:t>1,091</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1,093</w:t>
            </w:r>
          </w:p>
        </w:tc>
      </w:tr>
      <w:tr>
        <w:trPr>
          <w:trHeight w:val="270"/>
        </w:trPr>
        <w:tc>
          <w:tcPr>
            <w:tcW w:w="6640" w:type="dxa"/>
            <w:vAlign w:val="bottom"/>
          </w:tcPr>
          <w:p>
            <w:pPr>
              <w:ind w:left="40"/>
              <w:spacing w:after="0"/>
              <w:rPr>
                <w:sz w:val="20"/>
                <w:szCs w:val="20"/>
                <w:color w:val="auto"/>
              </w:rPr>
            </w:pPr>
            <w:r>
              <w:rPr>
                <w:rFonts w:ascii="Arial" w:cs="Arial" w:eastAsia="Arial" w:hAnsi="Arial"/>
                <w:sz w:val="18"/>
                <w:szCs w:val="18"/>
                <w:color w:val="auto"/>
              </w:rPr>
              <w:t>Noncurrent deferred revenue (included in other noncurrent liabilities)</w:t>
            </w:r>
          </w:p>
        </w:tc>
        <w:tc>
          <w:tcPr>
            <w:tcW w:w="2540" w:type="dxa"/>
            <w:vAlign w:val="bottom"/>
          </w:tcPr>
          <w:p>
            <w:pPr>
              <w:jc w:val="right"/>
              <w:ind w:right="779"/>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424</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392</w:t>
            </w:r>
          </w:p>
        </w:tc>
      </w:tr>
      <w:tr>
        <w:trPr>
          <w:trHeight w:val="27"/>
        </w:trPr>
        <w:tc>
          <w:tcPr>
            <w:tcW w:w="66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Long-Term Debt</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2018, our debt, excluding the note payable to Comcast, had a carrying value of $12.5 billion and an estimated fair value of $12.7 billion. The estimated fair value of our publicly traded debt was primarily based on Level 1 inputs that use quoted market values for the debt. The estimated fair value of debt for which there are no quoted market prices was based on Level 2 inputs that use interest rates available to us for debt with similar terms and remaining maturities.</w:t>
      </w:r>
    </w:p>
    <w:p>
      <w:pPr>
        <w:spacing w:after="0" w:line="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June 2018, Universal Beijing Resort borrowed $235 million under its debt financing agreement to fund the construction of a Universal theme park and resort in Beijing, China (see Note 5).</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2018, we repaid $318 million of Universal Studios Japan term loans maturing 2022.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Cross-Guarantee Structure</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Comcast and a 100% owned cable holding company subsidiary of Comcast (“CCCL Parent”) have fully and unconditionally guaranteed each other’s debt securities, including the $7 billion Comcast revolving credit facility due 2021. As of June 30, 2018, outstanding debt securities of $50.3 billion of Comcast and CCCL Parent were subject to the cross-guarantee structure.</w:t>
      </w:r>
    </w:p>
    <w:p>
      <w:pPr>
        <w:spacing w:after="0" w:line="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however, guarantee the obligations of NBCUniversal Enterprise with respect to its $3 billion aggregate principal amount of senior notes, $1.5 billion revolving credit facility, commercial paper program, or $725 million liquidation preference of Series A cumulative preferred stock. Additionally, the Universal Studios Japan and Universal Beijing Resort term loans are not subject to the cross-guarantee structure and are not guaranteed by us; however, the Universal Studios Japan term loans have a separate guarantee from Comcast.</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Significant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Beijing Resort</w:t>
      </w:r>
    </w:p>
    <w:p>
      <w:pPr>
        <w:spacing w:after="0" w:line="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entered into an agreement with a consortium of Chinese state-owned companies to build and operate a Universal theme park and resort in Beijing, China (“Universal Beijing Resort”). We own a 30% interest in Universal Beijing Resort and the construction will be funded through a combination of debt financing and equity contributions from the investors in accordance with their equity interests. The debt financing, which is being provided by a syndicate of Chinese financial institutions, contains certain financial and operating covenants and a maximum borrowing limit of ¥26.6 billion RMB (approximately $4 billion as of quarter end). The debt financing is secured by the assets of Universal Beijing Resort and the equity interests of the investors. In June 2018, Universal Beijing Resort borrowed $235 million of term loans under the debt financing agreements.</w:t>
      </w:r>
    </w:p>
    <w:p>
      <w:pPr>
        <w:spacing w:after="0" w:line="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concluded that Universal Beijing Resort is a variable interest entity based on its governance structure, and we consolidate it because we have the power to direct activities that most significantly impact its economic performance. There are no liquidity arrangements, guarantees or other financial commitments between us and Universal Beijing Resort, and therefore our maximum risk of financial loss is our 30% interest. Universal Beijing Resort’s results of operations are reported in our Theme Parks segment. Our condensed consolidated statement of cash flows includes the costs of construction and related borrowings in the "construction of Universal Beijing Resort" and "proceeds from borrowings" captions, respectively, and equity contributions from our investing partner are included in other financing activities.</w:t>
      </w:r>
    </w:p>
    <w:p>
      <w:pPr>
        <w:spacing w:after="0" w:line="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2018, Universal Beijing Resort received initial equity investments through a combination of cash and noncash contributions from the investors. As of June 30, 2018, our condensed consolidated balance sheet included assets, primarily property and equipment, and liabilities, including the term loans, of Universal Beijing Resort totaling $1.2 billion and $587 million, respectively.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Studios Japan</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6, 2017, we acquired the remaining interests in Universal Studios Japan that we did not already own for $2.3 billion. The acquisition was funded through borrowings under our revolving credit agreement with Comcast. Because we maintained control of Universal Studios Japan, the difference between the consideration transferred and the recorded value of the noncontrolling interests, as well as the related accumulated other comprehensive income impact, were recorded to member's capital.</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1"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2014, the Financial Accounting Standards Board (“FASB”) updated the accounting guidance related to revenue recognition. The updated accounting guidance provides a single, contract-based revenue recognition model to help improve financial reporting by providing clearer guidance on when an entity should recognize revenue and by reducing the number of standards to which an entity has to refer. The core principle of the new standard is that a company should recognize revenue to depict the transfer of promised goods or services to customers in an amount that reflects the consideration to which the company expects to be entitled in exchange for those goods or services.</w:t>
      </w:r>
    </w:p>
    <w:p>
      <w:pPr>
        <w:spacing w:after="0" w:line="4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adopted the updated guidance on January 1, 2018 on a full retrospective basis, which required us to reflect the impact of the updated guidance for all periods presented.</w:t>
      </w:r>
    </w:p>
    <w:p>
      <w:pPr>
        <w:spacing w:after="0" w:line="22"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The adoption of the new standard did not have a material impact on our consolidated results of operations or financial position for any period presented. The updated guidance also requires additional disclosures regarding the nature, timing and uncertainty of our revenue transactions (see Note 3).</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tables below present the effects on our condensed consolidated statement of income and balance sheet for the prior year periods presented.</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 June 30, 2017</w:t>
            </w:r>
          </w:p>
        </w:tc>
        <w:tc>
          <w:tcPr>
            <w:tcW w:w="9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Six Months Ended June 30, 2017</w:t>
            </w:r>
          </w:p>
        </w:tc>
        <w:tc>
          <w:tcPr>
            <w:tcW w:w="860" w:type="dxa"/>
            <w:vAlign w:val="bottom"/>
            <w:tcBorders>
              <w:bottom w:val="single" w:sz="8" w:color="auto"/>
            </w:tcBorders>
          </w:tcPr>
          <w:p>
            <w:pPr>
              <w:spacing w:after="0"/>
              <w:rPr>
                <w:sz w:val="16"/>
                <w:szCs w:val="16"/>
                <w:color w:val="auto"/>
              </w:rPr>
            </w:pPr>
          </w:p>
        </w:tc>
      </w:tr>
      <w:tr>
        <w:trPr>
          <w:trHeight w:val="156"/>
        </w:trPr>
        <w:tc>
          <w:tcPr>
            <w:tcW w:w="3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Previously</w:t>
            </w:r>
          </w:p>
        </w:tc>
        <w:tc>
          <w:tcPr>
            <w:tcW w:w="40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Effects of</w:t>
            </w: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Previously</w:t>
            </w:r>
          </w:p>
        </w:tc>
        <w:tc>
          <w:tcPr>
            <w:tcW w:w="400" w:type="dxa"/>
            <w:vAlign w:val="bottom"/>
          </w:tcPr>
          <w:p>
            <w:pPr>
              <w:spacing w:after="0"/>
              <w:rPr>
                <w:sz w:val="13"/>
                <w:szCs w:val="13"/>
                <w:color w:val="auto"/>
              </w:rPr>
            </w:pPr>
          </w:p>
        </w:tc>
        <w:tc>
          <w:tcPr>
            <w:tcW w:w="900" w:type="dxa"/>
            <w:vAlign w:val="bottom"/>
          </w:tcPr>
          <w:p>
            <w:pPr>
              <w:jc w:val="right"/>
              <w:ind w:right="16"/>
              <w:spacing w:after="0" w:line="157" w:lineRule="exact"/>
              <w:rPr>
                <w:sz w:val="20"/>
                <w:szCs w:val="20"/>
                <w:color w:val="auto"/>
              </w:rPr>
            </w:pPr>
            <w:r>
              <w:rPr>
                <w:rFonts w:ascii="Arial" w:cs="Arial" w:eastAsia="Arial" w:hAnsi="Arial"/>
                <w:sz w:val="14"/>
                <w:szCs w:val="14"/>
                <w:color w:val="auto"/>
              </w:rPr>
              <w:t>Effects of</w:t>
            </w: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8"/>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Reported</w:t>
            </w: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Adoption</w:t>
            </w: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w w:val="93"/>
              </w:rPr>
              <w:t>As Adjusted</w:t>
            </w: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Reported</w:t>
            </w: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Adoption</w:t>
            </w: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w w:val="98"/>
              </w:rPr>
              <w:t>As Adjusted</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8,331</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8,318</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16,199</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16,171</w:t>
            </w:r>
          </w:p>
        </w:tc>
      </w:tr>
      <w:tr>
        <w:trPr>
          <w:trHeight w:val="270"/>
        </w:trPr>
        <w:tc>
          <w:tcPr>
            <w:tcW w:w="366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6,780</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6,764</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13,139</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13,106</w:t>
            </w:r>
          </w:p>
        </w:tc>
      </w:tr>
      <w:tr>
        <w:trPr>
          <w:trHeight w:val="270"/>
        </w:trPr>
        <w:tc>
          <w:tcPr>
            <w:tcW w:w="36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1,551</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1,554</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3,060</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5</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3,065</w:t>
            </w:r>
          </w:p>
        </w:tc>
      </w:tr>
      <w:tr>
        <w:trPr>
          <w:trHeight w:val="270"/>
        </w:trPr>
        <w:tc>
          <w:tcPr>
            <w:tcW w:w="3660" w:type="dxa"/>
            <w:vAlign w:val="bottom"/>
          </w:tcPr>
          <w:p>
            <w:pPr>
              <w:ind w:left="40"/>
              <w:spacing w:after="0"/>
              <w:rPr>
                <w:sz w:val="20"/>
                <w:szCs w:val="20"/>
                <w:color w:val="auto"/>
              </w:rPr>
            </w:pPr>
            <w:r>
              <w:rPr>
                <w:rFonts w:ascii="Arial" w:cs="Arial" w:eastAsia="Arial" w:hAnsi="Arial"/>
                <w:sz w:val="18"/>
                <w:szCs w:val="18"/>
                <w:color w:val="auto"/>
              </w:rPr>
              <w:t>Net income attributable to NBCUniversal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1,276</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1,279</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2,476</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5</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2,481</w:t>
            </w:r>
          </w:p>
        </w:tc>
      </w:tr>
      <w:tr>
        <w:trPr>
          <w:trHeight w:val="27"/>
        </w:trPr>
        <w:tc>
          <w:tcPr>
            <w:tcW w:w="3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w w:val="92"/>
              </w:rPr>
              <w:t>December 31, 2017</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10"/>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Previously Reported</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Effects of Adoption</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As Adjusted</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11,673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284</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11,957</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7,071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7,082</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1,872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(68)</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1,804</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71,073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227</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71,300</w:t>
            </w:r>
          </w:p>
        </w:tc>
      </w:tr>
      <w:tr>
        <w:trPr>
          <w:trHeight w:val="540"/>
        </w:trPr>
        <w:tc>
          <w:tcPr>
            <w:tcW w:w="698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9,602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330</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9,932</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4,109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44</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4,153</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43,188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(147)</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43,041</w:t>
            </w: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Total liabilities and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71,073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227</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71,300</w:t>
            </w:r>
          </w:p>
        </w:tc>
      </w:tr>
      <w:tr>
        <w:trPr>
          <w:trHeight w:val="27"/>
        </w:trPr>
        <w:tc>
          <w:tcPr>
            <w:tcW w:w="6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adoption of the updated guidance impacted the timing of recognition for some of our revenue contracts, primarily for content licensing agreements. As a result of the adoption of the updated guidance, when the term of existing content licensing agreements is renewed or extended, revenue is not recognized until the date when the renewal or extension period begins. Under the prior guidance, revenue for the content licensing renewal period was recognized on the date that the renewal was agreed to contractually. This change resulted in delayed revenue recognition for content licensing renewals or extensions in our Cable Networks, Broadcast Television and Filmed Entertainment segments. This change also impacted the timing of the related amortization of our film and television costs and participations and residuals expenses. The adoption of the updated guidance did not have a material impact on the results of operations or financial position for our reportable segments.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and Financial Liabilities</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2016, the FASB updated the accounting guidance related to the recognition and measurement of financial assets and financial liabilities. The updated accounting guidance, among other things, requires that all nonconsolidated equity investments, except those accounted for under the equity method, be measured at fair value and the changes in fair value be recognized in net income. On January 1, 2018, we adopted the updated guidance prospectively along with a related clarifying update and as a result,</w:t>
      </w:r>
    </w:p>
    <w:p>
      <w:pPr>
        <w:sectPr>
          <w:pgSz w:w="11900" w:h="16838" w:orient="portrait"/>
          <w:cols w:equalWidth="0" w:num="1">
            <w:col w:w="11420"/>
          </w:cols>
          <w:pgMar w:left="240" w:top="121" w:right="239" w:bottom="1440" w:gutter="0" w:footer="0" w:header="0"/>
        </w:sect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121" w:right="23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recorded a $232 million cumulative effect adjustment to member’s capital and accumulated other comprehensive income (loss). See Note 8 for further information.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2016, the FASB updated the accounting guidance related to restricted cash. The new standard requires that the statement of cash flows present the change during the period in the total of cash, cash equivalents, and amounts generally described as restricted cash or restricted cash equivalents, and a reconciliation of such total to amounts on the balance sheet. We adopted the updated guidance on January 1, 2018 and as required applied the retrospective transition method. The adoption did not have a material impact for any period presented.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2016, the FASB updated the accounting guidance related to leases. The updated accounting guidance requires lessees to recognize a right-of-use asset and a lease liability on the balance sheet for all leases with the exception of short-term leases. The asset and liability are initially measured based on the present value of committed lease payments. For a lessee, the recognition, measurement and presentation of expenses and cash flows arising from a lease do not significantly change from previous guidance. For a lessor, the accounting applied is also largely unchanged from previous guidance. The updated guidance is effective for us as of January 1, 2019 and early adoption is permitted. We are currently in the process of determining the impact that the updated accounting guidance will have on our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Film and Television Costs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60" w:type="dxa"/>
            <w:vAlign w:val="bottom"/>
          </w:tcPr>
          <w:p>
            <w:pPr>
              <w:jc w:val="right"/>
              <w:ind w:right="513"/>
              <w:spacing w:after="0"/>
              <w:rPr>
                <w:sz w:val="20"/>
                <w:szCs w:val="20"/>
                <w:color w:val="auto"/>
              </w:rPr>
            </w:pPr>
            <w:r>
              <w:rPr>
                <w:rFonts w:ascii="Arial" w:cs="Arial" w:eastAsia="Arial" w:hAnsi="Arial"/>
                <w:sz w:val="14"/>
                <w:szCs w:val="14"/>
                <w:color w:val="auto"/>
              </w:rPr>
              <w:t>June 30,</w:t>
            </w:r>
          </w:p>
        </w:tc>
        <w:tc>
          <w:tcPr>
            <w:tcW w:w="360" w:type="dxa"/>
            <w:vAlign w:val="bottom"/>
          </w:tcPr>
          <w:p>
            <w:pPr>
              <w:spacing w:after="0"/>
              <w:rPr>
                <w:sz w:val="14"/>
                <w:szCs w:val="14"/>
                <w:color w:val="auto"/>
              </w:rPr>
            </w:pPr>
          </w:p>
        </w:tc>
        <w:tc>
          <w:tcPr>
            <w:tcW w:w="1260" w:type="dxa"/>
            <w:vAlign w:val="bottom"/>
          </w:tcPr>
          <w:p>
            <w:pPr>
              <w:jc w:val="right"/>
              <w:ind w:right="273"/>
              <w:spacing w:after="0"/>
              <w:rPr>
                <w:sz w:val="20"/>
                <w:szCs w:val="20"/>
                <w:color w:val="auto"/>
              </w:rPr>
            </w:pPr>
            <w:r>
              <w:rPr>
                <w:rFonts w:ascii="Arial" w:cs="Arial" w:eastAsia="Arial" w:hAnsi="Arial"/>
                <w:sz w:val="14"/>
                <w:szCs w:val="14"/>
                <w:color w:val="auto"/>
              </w:rPr>
              <w:t>December 31,</w:t>
            </w:r>
          </w:p>
        </w:tc>
      </w:tr>
      <w:tr>
        <w:trPr>
          <w:trHeight w:val="188"/>
        </w:trPr>
        <w:tc>
          <w:tcPr>
            <w:tcW w:w="57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7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2018</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rPr>
              <w:t>2017</w:t>
            </w:r>
          </w:p>
        </w:tc>
      </w:tr>
      <w:tr>
        <w:trPr>
          <w:trHeight w:val="243"/>
        </w:trPr>
        <w:tc>
          <w:tcPr>
            <w:tcW w:w="5760" w:type="dxa"/>
            <w:vAlign w:val="bottom"/>
          </w:tcPr>
          <w:p>
            <w:pPr>
              <w:ind w:left="40"/>
              <w:spacing w:after="0"/>
              <w:rPr>
                <w:sz w:val="20"/>
                <w:szCs w:val="20"/>
                <w:color w:val="auto"/>
              </w:rPr>
            </w:pPr>
            <w:r>
              <w:rPr>
                <w:rFonts w:ascii="Arial" w:cs="Arial" w:eastAsia="Arial" w:hAnsi="Arial"/>
                <w:sz w:val="18"/>
                <w:szCs w:val="18"/>
                <w:color w:val="auto"/>
              </w:rPr>
              <w:t>Film Costs:</w:t>
            </w:r>
          </w:p>
        </w:tc>
        <w:tc>
          <w:tcPr>
            <w:tcW w:w="27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5760" w:type="dxa"/>
            <w:vAlign w:val="bottom"/>
          </w:tcPr>
          <w:p>
            <w:pPr>
              <w:ind w:left="380"/>
              <w:spacing w:after="0"/>
              <w:rPr>
                <w:sz w:val="20"/>
                <w:szCs w:val="20"/>
                <w:color w:val="auto"/>
              </w:rPr>
            </w:pPr>
            <w:r>
              <w:rPr>
                <w:rFonts w:ascii="Arial" w:cs="Arial" w:eastAsia="Arial" w:hAnsi="Arial"/>
                <w:sz w:val="18"/>
                <w:szCs w:val="18"/>
                <w:color w:val="auto"/>
              </w:rPr>
              <w:t>Released, less amortization</w:t>
            </w:r>
          </w:p>
        </w:tc>
        <w:tc>
          <w:tcPr>
            <w:tcW w:w="27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1,609</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1,734</w:t>
            </w:r>
          </w:p>
        </w:tc>
      </w:tr>
      <w:tr>
        <w:trPr>
          <w:trHeight w:val="270"/>
        </w:trPr>
        <w:tc>
          <w:tcPr>
            <w:tcW w:w="5760" w:type="dxa"/>
            <w:vAlign w:val="bottom"/>
          </w:tcPr>
          <w:p>
            <w:pPr>
              <w:ind w:left="380"/>
              <w:spacing w:after="0"/>
              <w:rPr>
                <w:sz w:val="20"/>
                <w:szCs w:val="20"/>
                <w:color w:val="auto"/>
              </w:rPr>
            </w:pPr>
            <w:r>
              <w:rPr>
                <w:rFonts w:ascii="Arial" w:cs="Arial" w:eastAsia="Arial" w:hAnsi="Arial"/>
                <w:sz w:val="18"/>
                <w:szCs w:val="18"/>
                <w:color w:val="auto"/>
              </w:rPr>
              <w:t>Completed, not released</w:t>
            </w:r>
          </w:p>
        </w:tc>
        <w:tc>
          <w:tcPr>
            <w:tcW w:w="278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258</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50</w:t>
            </w:r>
          </w:p>
        </w:tc>
      </w:tr>
      <w:tr>
        <w:trPr>
          <w:trHeight w:val="270"/>
        </w:trPr>
        <w:tc>
          <w:tcPr>
            <w:tcW w:w="5760" w:type="dxa"/>
            <w:vAlign w:val="bottom"/>
          </w:tcPr>
          <w:p>
            <w:pPr>
              <w:ind w:left="380"/>
              <w:spacing w:after="0"/>
              <w:rPr>
                <w:sz w:val="20"/>
                <w:szCs w:val="20"/>
                <w:color w:val="auto"/>
              </w:rPr>
            </w:pPr>
            <w:r>
              <w:rPr>
                <w:rFonts w:ascii="Arial" w:cs="Arial" w:eastAsia="Arial" w:hAnsi="Arial"/>
                <w:sz w:val="18"/>
                <w:szCs w:val="18"/>
                <w:color w:val="auto"/>
              </w:rPr>
              <w:t>In production and in development</w:t>
            </w:r>
          </w:p>
        </w:tc>
        <w:tc>
          <w:tcPr>
            <w:tcW w:w="278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1,057</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1,149</w:t>
            </w:r>
          </w:p>
        </w:tc>
      </w:tr>
      <w:tr>
        <w:trPr>
          <w:trHeight w:val="27"/>
        </w:trPr>
        <w:tc>
          <w:tcPr>
            <w:tcW w:w="57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7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2,924</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2,933</w:t>
            </w:r>
          </w:p>
        </w:tc>
      </w:tr>
      <w:tr>
        <w:trPr>
          <w:trHeight w:val="270"/>
        </w:trPr>
        <w:tc>
          <w:tcPr>
            <w:tcW w:w="5760" w:type="dxa"/>
            <w:vAlign w:val="bottom"/>
          </w:tcPr>
          <w:p>
            <w:pPr>
              <w:ind w:left="40"/>
              <w:spacing w:after="0"/>
              <w:rPr>
                <w:sz w:val="20"/>
                <w:szCs w:val="20"/>
                <w:color w:val="auto"/>
              </w:rPr>
            </w:pPr>
            <w:r>
              <w:rPr>
                <w:rFonts w:ascii="Arial" w:cs="Arial" w:eastAsia="Arial" w:hAnsi="Arial"/>
                <w:sz w:val="18"/>
                <w:szCs w:val="18"/>
                <w:color w:val="auto"/>
              </w:rPr>
              <w:t>Television Costs:</w:t>
            </w:r>
          </w:p>
        </w:tc>
        <w:tc>
          <w:tcPr>
            <w:tcW w:w="27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5760" w:type="dxa"/>
            <w:vAlign w:val="bottom"/>
          </w:tcPr>
          <w:p>
            <w:pPr>
              <w:ind w:left="380"/>
              <w:spacing w:after="0"/>
              <w:rPr>
                <w:sz w:val="20"/>
                <w:szCs w:val="20"/>
                <w:color w:val="auto"/>
              </w:rPr>
            </w:pPr>
            <w:r>
              <w:rPr>
                <w:rFonts w:ascii="Arial" w:cs="Arial" w:eastAsia="Arial" w:hAnsi="Arial"/>
                <w:sz w:val="18"/>
                <w:szCs w:val="18"/>
                <w:color w:val="auto"/>
              </w:rPr>
              <w:t>Released, less amortization</w:t>
            </w:r>
          </w:p>
        </w:tc>
        <w:tc>
          <w:tcPr>
            <w:tcW w:w="278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2,326</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2,260</w:t>
            </w:r>
          </w:p>
        </w:tc>
      </w:tr>
      <w:tr>
        <w:trPr>
          <w:trHeight w:val="270"/>
        </w:trPr>
        <w:tc>
          <w:tcPr>
            <w:tcW w:w="5760" w:type="dxa"/>
            <w:vAlign w:val="bottom"/>
          </w:tcPr>
          <w:p>
            <w:pPr>
              <w:ind w:left="380"/>
              <w:spacing w:after="0"/>
              <w:rPr>
                <w:sz w:val="20"/>
                <w:szCs w:val="20"/>
                <w:color w:val="auto"/>
              </w:rPr>
            </w:pPr>
            <w:r>
              <w:rPr>
                <w:rFonts w:ascii="Arial" w:cs="Arial" w:eastAsia="Arial" w:hAnsi="Arial"/>
                <w:sz w:val="18"/>
                <w:szCs w:val="18"/>
                <w:color w:val="auto"/>
              </w:rPr>
              <w:t>In production and in development</w:t>
            </w:r>
          </w:p>
        </w:tc>
        <w:tc>
          <w:tcPr>
            <w:tcW w:w="278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878</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818</w:t>
            </w:r>
          </w:p>
        </w:tc>
      </w:tr>
      <w:tr>
        <w:trPr>
          <w:trHeight w:val="27"/>
        </w:trPr>
        <w:tc>
          <w:tcPr>
            <w:tcW w:w="57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7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3,204</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3,078</w:t>
            </w:r>
          </w:p>
        </w:tc>
      </w:tr>
      <w:tr>
        <w:trPr>
          <w:trHeight w:val="270"/>
        </w:trPr>
        <w:tc>
          <w:tcPr>
            <w:tcW w:w="5760" w:type="dxa"/>
            <w:vAlign w:val="bottom"/>
          </w:tcPr>
          <w:p>
            <w:pPr>
              <w:ind w:left="40"/>
              <w:spacing w:after="0"/>
              <w:rPr>
                <w:sz w:val="20"/>
                <w:szCs w:val="20"/>
                <w:color w:val="auto"/>
              </w:rPr>
            </w:pPr>
            <w:r>
              <w:rPr>
                <w:rFonts w:ascii="Arial" w:cs="Arial" w:eastAsia="Arial" w:hAnsi="Arial"/>
                <w:sz w:val="18"/>
                <w:szCs w:val="18"/>
                <w:color w:val="auto"/>
              </w:rPr>
              <w:t>Programming rights, less amortization</w:t>
            </w:r>
          </w:p>
        </w:tc>
        <w:tc>
          <w:tcPr>
            <w:tcW w:w="278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2,480</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2,677</w:t>
            </w:r>
          </w:p>
        </w:tc>
      </w:tr>
      <w:tr>
        <w:trPr>
          <w:trHeight w:val="27"/>
        </w:trPr>
        <w:tc>
          <w:tcPr>
            <w:tcW w:w="57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7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8,608</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8,688</w:t>
            </w:r>
          </w:p>
        </w:tc>
      </w:tr>
      <w:tr>
        <w:trPr>
          <w:trHeight w:val="270"/>
        </w:trPr>
        <w:tc>
          <w:tcPr>
            <w:tcW w:w="5760" w:type="dxa"/>
            <w:vAlign w:val="bottom"/>
          </w:tcPr>
          <w:p>
            <w:pPr>
              <w:ind w:left="40"/>
              <w:spacing w:after="0"/>
              <w:rPr>
                <w:sz w:val="20"/>
                <w:szCs w:val="20"/>
                <w:color w:val="auto"/>
              </w:rPr>
            </w:pPr>
            <w:r>
              <w:rPr>
                <w:rFonts w:ascii="Arial" w:cs="Arial" w:eastAsia="Arial" w:hAnsi="Arial"/>
                <w:sz w:val="18"/>
                <w:szCs w:val="18"/>
                <w:color w:val="auto"/>
              </w:rPr>
              <w:t>Less: Current portion of programming rights</w:t>
            </w:r>
          </w:p>
        </w:tc>
        <w:tc>
          <w:tcPr>
            <w:tcW w:w="278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1,207</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1,606</w:t>
            </w:r>
          </w:p>
        </w:tc>
      </w:tr>
      <w:tr>
        <w:trPr>
          <w:trHeight w:val="27"/>
        </w:trPr>
        <w:tc>
          <w:tcPr>
            <w:tcW w:w="57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760" w:type="dxa"/>
            <w:vAlign w:val="bottom"/>
          </w:tcPr>
          <w:p>
            <w:pPr>
              <w:ind w:left="40"/>
              <w:spacing w:after="0"/>
              <w:rPr>
                <w:sz w:val="20"/>
                <w:szCs w:val="20"/>
                <w:color w:val="auto"/>
              </w:rPr>
            </w:pPr>
            <w:r>
              <w:rPr>
                <w:rFonts w:ascii="Arial" w:cs="Arial" w:eastAsia="Arial" w:hAnsi="Arial"/>
                <w:sz w:val="18"/>
                <w:szCs w:val="18"/>
                <w:b w:val="1"/>
                <w:bCs w:val="1"/>
                <w:color w:val="auto"/>
              </w:rPr>
              <w:t>Film and television costs</w:t>
            </w:r>
          </w:p>
        </w:tc>
        <w:tc>
          <w:tcPr>
            <w:tcW w:w="27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93"/>
              <w:spacing w:after="0"/>
              <w:rPr>
                <w:sz w:val="20"/>
                <w:szCs w:val="20"/>
                <w:color w:val="auto"/>
              </w:rPr>
            </w:pPr>
            <w:r>
              <w:rPr>
                <w:rFonts w:ascii="Arial" w:cs="Arial" w:eastAsia="Arial" w:hAnsi="Arial"/>
                <w:sz w:val="18"/>
                <w:szCs w:val="18"/>
                <w:b w:val="1"/>
                <w:bCs w:val="1"/>
                <w:color w:val="auto"/>
              </w:rPr>
              <w:t>7,401</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b w:val="1"/>
                <w:bCs w:val="1"/>
                <w:color w:val="auto"/>
              </w:rPr>
              <w:t>7,082</w:t>
            </w:r>
          </w:p>
        </w:tc>
      </w:tr>
      <w:tr>
        <w:trPr>
          <w:trHeight w:val="34"/>
        </w:trPr>
        <w:tc>
          <w:tcPr>
            <w:tcW w:w="57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Investments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June 30,</w:t>
            </w: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jc w:val="right"/>
              <w:ind w:right="275"/>
              <w:spacing w:after="0"/>
              <w:rPr>
                <w:sz w:val="20"/>
                <w:szCs w:val="20"/>
                <w:color w:val="auto"/>
              </w:rPr>
            </w:pPr>
            <w:r>
              <w:rPr>
                <w:rFonts w:ascii="Arial" w:cs="Arial" w:eastAsia="Arial" w:hAnsi="Arial"/>
                <w:sz w:val="14"/>
                <w:szCs w:val="14"/>
                <w:color w:val="auto"/>
                <w:w w:val="95"/>
              </w:rPr>
              <w:t>December 31,</w:t>
            </w:r>
          </w:p>
        </w:tc>
      </w:tr>
      <w:tr>
        <w:trPr>
          <w:trHeight w:val="188"/>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9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5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color w:val="auto"/>
              </w:rPr>
              <w:t>2017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Equity method</w:t>
            </w:r>
          </w:p>
        </w:tc>
        <w:tc>
          <w:tcPr>
            <w:tcW w:w="9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77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54"/>
              <w:spacing w:after="0"/>
              <w:rPr>
                <w:sz w:val="20"/>
                <w:szCs w:val="20"/>
                <w:color w:val="auto"/>
              </w:rPr>
            </w:pPr>
            <w:r>
              <w:rPr>
                <w:rFonts w:ascii="Arial" w:cs="Arial" w:eastAsia="Arial" w:hAnsi="Arial"/>
                <w:sz w:val="18"/>
                <w:szCs w:val="18"/>
                <w:color w:val="auto"/>
              </w:rPr>
              <w:t>719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690</w:t>
            </w: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Marketable equity securities</w:t>
            </w: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60" w:type="dxa"/>
            <w:vAlign w:val="bottom"/>
          </w:tcPr>
          <w:p>
            <w:pPr>
              <w:jc w:val="right"/>
              <w:ind w:right="54"/>
              <w:spacing w:after="0"/>
              <w:rPr>
                <w:sz w:val="20"/>
                <w:szCs w:val="20"/>
                <w:color w:val="auto"/>
              </w:rPr>
            </w:pPr>
            <w:r>
              <w:rPr>
                <w:rFonts w:ascii="Arial" w:cs="Arial" w:eastAsia="Arial" w:hAnsi="Arial"/>
                <w:sz w:val="18"/>
                <w:szCs w:val="18"/>
                <w:color w:val="auto"/>
              </w:rPr>
              <w:t>385</w:t>
            </w:r>
          </w:p>
        </w:tc>
        <w:tc>
          <w:tcPr>
            <w:tcW w:w="320" w:type="dxa"/>
            <w:vAlign w:val="bottom"/>
          </w:tcPr>
          <w:p>
            <w:pPr>
              <w:spacing w:after="0"/>
              <w:rPr>
                <w:sz w:val="23"/>
                <w:szCs w:val="23"/>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430</w:t>
            </w: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Nonmarketable equity securities</w:t>
            </w: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60" w:type="dxa"/>
            <w:vAlign w:val="bottom"/>
          </w:tcPr>
          <w:p>
            <w:pPr>
              <w:jc w:val="right"/>
              <w:ind w:right="54"/>
              <w:spacing w:after="0"/>
              <w:rPr>
                <w:sz w:val="20"/>
                <w:szCs w:val="20"/>
                <w:color w:val="auto"/>
              </w:rPr>
            </w:pPr>
            <w:r>
              <w:rPr>
                <w:rFonts w:ascii="Arial" w:cs="Arial" w:eastAsia="Arial" w:hAnsi="Arial"/>
                <w:sz w:val="18"/>
                <w:szCs w:val="18"/>
                <w:color w:val="auto"/>
              </w:rPr>
              <w:t>712</w:t>
            </w:r>
          </w:p>
        </w:tc>
        <w:tc>
          <w:tcPr>
            <w:tcW w:w="320" w:type="dxa"/>
            <w:vAlign w:val="bottom"/>
          </w:tcPr>
          <w:p>
            <w:pPr>
              <w:spacing w:after="0"/>
              <w:rPr>
                <w:sz w:val="23"/>
                <w:szCs w:val="23"/>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696</w:t>
            </w:r>
          </w:p>
        </w:tc>
      </w:tr>
      <w:tr>
        <w:trPr>
          <w:trHeight w:val="27"/>
        </w:trPr>
        <w:tc>
          <w:tcPr>
            <w:tcW w:w="5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Total investments</w:t>
            </w: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ind w:right="778"/>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54"/>
              <w:spacing w:after="0"/>
              <w:rPr>
                <w:sz w:val="20"/>
                <w:szCs w:val="20"/>
                <w:color w:val="auto"/>
              </w:rPr>
            </w:pPr>
            <w:r>
              <w:rPr>
                <w:rFonts w:ascii="Arial" w:cs="Arial" w:eastAsia="Arial" w:hAnsi="Arial"/>
                <w:sz w:val="18"/>
                <w:szCs w:val="18"/>
                <w:b w:val="1"/>
                <w:bCs w:val="1"/>
                <w:color w:val="auto"/>
                <w:w w:val="88"/>
              </w:rPr>
              <w:t>1,816</w:t>
            </w:r>
          </w:p>
        </w:tc>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5"/>
              <w:spacing w:after="0"/>
              <w:rPr>
                <w:sz w:val="20"/>
                <w:szCs w:val="20"/>
                <w:color w:val="auto"/>
              </w:rPr>
            </w:pPr>
            <w:r>
              <w:rPr>
                <w:rFonts w:ascii="Arial" w:cs="Arial" w:eastAsia="Arial" w:hAnsi="Arial"/>
                <w:sz w:val="18"/>
                <w:szCs w:val="18"/>
                <w:b w:val="1"/>
                <w:bCs w:val="1"/>
                <w:color w:val="auto"/>
              </w:rPr>
              <w:t>1,816</w:t>
            </w:r>
          </w:p>
        </w:tc>
      </w:tr>
      <w:tr>
        <w:trPr>
          <w:trHeight w:val="34"/>
        </w:trPr>
        <w:tc>
          <w:tcPr>
            <w:tcW w:w="7780" w:type="dxa"/>
            <w:vAlign w:val="bottom"/>
            <w:tcBorders>
              <w:bottom w:val="single" w:sz="8" w:color="auto"/>
            </w:tcBorders>
            <w:gridSpan w:val="4"/>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432"/>
        </w:trPr>
        <w:tc>
          <w:tcPr>
            <w:tcW w:w="7780" w:type="dxa"/>
            <w:vAlign w:val="bottom"/>
            <w:gridSpan w:val="4"/>
          </w:tcPr>
          <w:p>
            <w:pPr>
              <w:ind w:left="3960"/>
              <w:spacing w:after="0"/>
              <w:rPr>
                <w:sz w:val="20"/>
                <w:szCs w:val="20"/>
                <w:color w:val="auto"/>
              </w:rPr>
            </w:pPr>
            <w:r>
              <w:rPr>
                <w:rFonts w:ascii="Arial" w:cs="Arial" w:eastAsia="Arial" w:hAnsi="Arial"/>
                <w:sz w:val="18"/>
                <w:szCs w:val="18"/>
                <w:b w:val="1"/>
                <w:bCs w:val="1"/>
                <w:color w:val="auto"/>
              </w:rPr>
              <w:t>Investment and Other Income (Loss), Net</w:t>
            </w: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5"/>
        </w:trPr>
        <w:tc>
          <w:tcPr>
            <w:tcW w:w="5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700" w:type="dxa"/>
            <w:vAlign w:val="bottom"/>
            <w:gridSpan w:val="2"/>
          </w:tcPr>
          <w:p>
            <w:pPr>
              <w:jc w:val="right"/>
              <w:ind w:right="376"/>
              <w:spacing w:after="0"/>
              <w:rPr>
                <w:sz w:val="20"/>
                <w:szCs w:val="20"/>
                <w:color w:val="auto"/>
              </w:rPr>
            </w:pPr>
            <w:r>
              <w:rPr>
                <w:rFonts w:ascii="Arial" w:cs="Arial" w:eastAsia="Arial" w:hAnsi="Arial"/>
                <w:sz w:val="14"/>
                <w:szCs w:val="14"/>
                <w:color w:val="auto"/>
                <w:w w:val="93"/>
              </w:rPr>
              <w:t>Three Months Ended</w:t>
            </w: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100" w:type="dxa"/>
            <w:vAlign w:val="bottom"/>
            <w:gridSpan w:val="3"/>
          </w:tcPr>
          <w:p>
            <w:pPr>
              <w:jc w:val="right"/>
              <w:ind w:right="895"/>
              <w:spacing w:after="0"/>
              <w:rPr>
                <w:sz w:val="20"/>
                <w:szCs w:val="20"/>
                <w:color w:val="auto"/>
              </w:rPr>
            </w:pPr>
            <w:r>
              <w:rPr>
                <w:rFonts w:ascii="Arial" w:cs="Arial" w:eastAsia="Arial" w:hAnsi="Arial"/>
                <w:sz w:val="14"/>
                <w:szCs w:val="14"/>
                <w:color w:val="auto"/>
                <w:w w:val="96"/>
              </w:rPr>
              <w:t>Six Months Ended</w:t>
            </w:r>
          </w:p>
        </w:tc>
      </w:tr>
      <w:tr>
        <w:trPr>
          <w:trHeight w:val="188"/>
        </w:trPr>
        <w:tc>
          <w:tcPr>
            <w:tcW w:w="51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right"/>
              <w:ind w:right="756"/>
              <w:spacing w:after="0"/>
              <w:rPr>
                <w:sz w:val="20"/>
                <w:szCs w:val="20"/>
                <w:color w:val="auto"/>
              </w:rPr>
            </w:pPr>
            <w:r>
              <w:rPr>
                <w:rFonts w:ascii="Arial" w:cs="Arial" w:eastAsia="Arial" w:hAnsi="Arial"/>
                <w:sz w:val="14"/>
                <w:szCs w:val="14"/>
                <w:color w:val="auto"/>
              </w:rPr>
              <w:t>June 30</w:t>
            </w: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June 30</w:t>
            </w:r>
          </w:p>
        </w:tc>
        <w:tc>
          <w:tcPr>
            <w:tcW w:w="12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6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2017</w:t>
            </w:r>
          </w:p>
        </w:tc>
        <w:tc>
          <w:tcPr>
            <w:tcW w:w="5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5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color w:val="auto"/>
              </w:rPr>
              <w:t>2017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Equity in net income (losses) of investees, net</w:t>
            </w: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6"/>
              <w:spacing w:after="0"/>
              <w:rPr>
                <w:sz w:val="20"/>
                <w:szCs w:val="20"/>
                <w:color w:val="auto"/>
              </w:rPr>
            </w:pPr>
            <w:r>
              <w:rPr>
                <w:rFonts w:ascii="Arial" w:cs="Arial" w:eastAsia="Arial" w:hAnsi="Arial"/>
                <w:sz w:val="18"/>
                <w:szCs w:val="18"/>
                <w:color w:val="auto"/>
              </w:rPr>
              <w:t>(87)</w:t>
            </w:r>
          </w:p>
        </w:tc>
        <w:tc>
          <w:tcPr>
            <w:tcW w:w="1080" w:type="dxa"/>
            <w:vAlign w:val="bottom"/>
          </w:tcPr>
          <w:p>
            <w:pPr>
              <w:jc w:val="right"/>
              <w:ind w:right="796"/>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1040" w:type="dxa"/>
            <w:vAlign w:val="bottom"/>
          </w:tcPr>
          <w:p>
            <w:pPr>
              <w:jc w:val="right"/>
              <w:ind w:right="75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(187)</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Realized and unrealized gains (losses) on equity securities, net</w:t>
            </w:r>
          </w:p>
        </w:tc>
        <w:tc>
          <w:tcPr>
            <w:tcW w:w="920" w:type="dxa"/>
            <w:vAlign w:val="bottom"/>
          </w:tcPr>
          <w:p>
            <w:pPr>
              <w:spacing w:after="0"/>
              <w:rPr>
                <w:sz w:val="23"/>
                <w:szCs w:val="23"/>
                <w:color w:val="auto"/>
              </w:rPr>
            </w:pPr>
          </w:p>
        </w:tc>
        <w:tc>
          <w:tcPr>
            <w:tcW w:w="620" w:type="dxa"/>
            <w:vAlign w:val="bottom"/>
          </w:tcPr>
          <w:p>
            <w:pPr>
              <w:jc w:val="right"/>
              <w:ind w:right="16"/>
              <w:spacing w:after="0"/>
              <w:rPr>
                <w:sz w:val="20"/>
                <w:szCs w:val="20"/>
                <w:color w:val="auto"/>
              </w:rPr>
            </w:pPr>
            <w:r>
              <w:rPr>
                <w:rFonts w:ascii="Arial" w:cs="Arial" w:eastAsia="Arial" w:hAnsi="Arial"/>
                <w:sz w:val="18"/>
                <w:szCs w:val="18"/>
                <w:color w:val="auto"/>
              </w:rPr>
              <w:t>(74)</w:t>
            </w:r>
          </w:p>
        </w:tc>
        <w:tc>
          <w:tcPr>
            <w:tcW w:w="1080" w:type="dxa"/>
            <w:vAlign w:val="bottom"/>
          </w:tcPr>
          <w:p>
            <w:pPr>
              <w:spacing w:after="0"/>
              <w:rPr>
                <w:sz w:val="23"/>
                <w:szCs w:val="23"/>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23"/>
                <w:szCs w:val="23"/>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w:t>
            </w: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Other income (loss), net</w:t>
            </w:r>
          </w:p>
        </w:tc>
        <w:tc>
          <w:tcPr>
            <w:tcW w:w="920" w:type="dxa"/>
            <w:vAlign w:val="bottom"/>
          </w:tcPr>
          <w:p>
            <w:pPr>
              <w:spacing w:after="0"/>
              <w:rPr>
                <w:sz w:val="23"/>
                <w:szCs w:val="23"/>
                <w:color w:val="auto"/>
              </w:rPr>
            </w:pPr>
          </w:p>
        </w:tc>
        <w:tc>
          <w:tcPr>
            <w:tcW w:w="620" w:type="dxa"/>
            <w:vAlign w:val="bottom"/>
          </w:tcPr>
          <w:p>
            <w:pPr>
              <w:jc w:val="right"/>
              <w:ind w:right="16"/>
              <w:spacing w:after="0"/>
              <w:rPr>
                <w:sz w:val="20"/>
                <w:szCs w:val="20"/>
                <w:color w:val="auto"/>
              </w:rPr>
            </w:pPr>
            <w:r>
              <w:rPr>
                <w:rFonts w:ascii="Arial" w:cs="Arial" w:eastAsia="Arial" w:hAnsi="Arial"/>
                <w:sz w:val="18"/>
                <w:szCs w:val="18"/>
                <w:color w:val="auto"/>
              </w:rPr>
              <w:t>(7)</w:t>
            </w:r>
          </w:p>
        </w:tc>
        <w:tc>
          <w:tcPr>
            <w:tcW w:w="1080" w:type="dxa"/>
            <w:vAlign w:val="bottom"/>
          </w:tcPr>
          <w:p>
            <w:pPr>
              <w:spacing w:after="0"/>
              <w:rPr>
                <w:sz w:val="23"/>
                <w:szCs w:val="23"/>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40" w:type="dxa"/>
            <w:vAlign w:val="bottom"/>
          </w:tcPr>
          <w:p>
            <w:pPr>
              <w:spacing w:after="0"/>
              <w:rPr>
                <w:sz w:val="23"/>
                <w:szCs w:val="23"/>
                <w:color w:val="auto"/>
              </w:rPr>
            </w:pPr>
          </w:p>
        </w:tc>
        <w:tc>
          <w:tcPr>
            <w:tcW w:w="560" w:type="dxa"/>
            <w:vAlign w:val="bottom"/>
          </w:tcPr>
          <w:p>
            <w:pPr>
              <w:jc w:val="right"/>
              <w:ind w:right="54"/>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23"/>
                <w:szCs w:val="23"/>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37</w:t>
            </w:r>
          </w:p>
        </w:tc>
      </w:tr>
      <w:tr>
        <w:trPr>
          <w:trHeight w:val="27"/>
        </w:trPr>
        <w:tc>
          <w:tcPr>
            <w:tcW w:w="5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Investment and other income (loss), net</w:t>
            </w:r>
          </w:p>
        </w:tc>
        <w:tc>
          <w:tcPr>
            <w:tcW w:w="920" w:type="dxa"/>
            <w:vAlign w:val="bottom"/>
          </w:tcPr>
          <w:p>
            <w:pPr>
              <w:jc w:val="right"/>
              <w:ind w:right="716"/>
              <w:spacing w:after="0"/>
              <w:rPr>
                <w:sz w:val="20"/>
                <w:szCs w:val="20"/>
                <w:color w:val="auto"/>
              </w:rPr>
            </w:pPr>
            <w:r>
              <w:rPr>
                <w:rFonts w:ascii="Arial" w:cs="Arial" w:eastAsia="Arial" w:hAnsi="Arial"/>
                <w:sz w:val="18"/>
                <w:szCs w:val="18"/>
                <w:b w:val="1"/>
                <w:bCs w:val="1"/>
                <w:color w:val="auto"/>
                <w:w w:val="99"/>
              </w:rPr>
              <w:t>$</w:t>
            </w:r>
          </w:p>
        </w:tc>
        <w:tc>
          <w:tcPr>
            <w:tcW w:w="620" w:type="dxa"/>
            <w:vAlign w:val="bottom"/>
          </w:tcPr>
          <w:p>
            <w:pPr>
              <w:jc w:val="right"/>
              <w:ind w:right="16"/>
              <w:spacing w:after="0"/>
              <w:rPr>
                <w:sz w:val="20"/>
                <w:szCs w:val="20"/>
                <w:color w:val="auto"/>
              </w:rPr>
            </w:pPr>
            <w:r>
              <w:rPr>
                <w:rFonts w:ascii="Arial" w:cs="Arial" w:eastAsia="Arial" w:hAnsi="Arial"/>
                <w:sz w:val="18"/>
                <w:szCs w:val="18"/>
                <w:b w:val="1"/>
                <w:bCs w:val="1"/>
                <w:color w:val="auto"/>
              </w:rPr>
              <w:t>(168)</w:t>
            </w:r>
          </w:p>
        </w:tc>
        <w:tc>
          <w:tcPr>
            <w:tcW w:w="1080" w:type="dxa"/>
            <w:vAlign w:val="bottom"/>
          </w:tcPr>
          <w:p>
            <w:pPr>
              <w:jc w:val="right"/>
              <w:ind w:right="796"/>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040" w:type="dxa"/>
            <w:vAlign w:val="bottom"/>
          </w:tcPr>
          <w:p>
            <w:pPr>
              <w:jc w:val="right"/>
              <w:ind w:right="758"/>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(172)</w:t>
            </w:r>
          </w:p>
        </w:tc>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34"/>
        </w:trPr>
        <w:tc>
          <w:tcPr>
            <w:tcW w:w="5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Beginning January 1, 2018, in connection with our adoption of the updated accounting guidance related to the recognition and measurement of financial assets and financial liabilities (see Note 6), we updated the presentation and accounting policies for our</w:t>
      </w:r>
    </w:p>
    <w:p>
      <w:pPr>
        <w:sectPr>
          <w:pgSz w:w="11900" w:h="16838" w:orient="portrait"/>
          <w:cols w:equalWidth="0" w:num="1">
            <w:col w:w="11420"/>
          </w:cols>
          <w:pgMar w:left="240" w:top="121" w:right="239" w:bottom="1440" w:gutter="0" w:footer="0" w:header="0"/>
        </w:sect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21" w:right="2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3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investments previously classified as fair value and cost method investments. The investment categories presented in the table above are based on the new guidance and updated policies, where applicable, are presented below.</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Hulu</w:t>
      </w:r>
    </w:p>
    <w:p>
      <w:pPr>
        <w:spacing w:after="0" w:line="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2018 and December 31, 2017, we had an investment in Hulu of $238 million and $249 million, respectively. For the six months ended June 30, 2018 and 2017, we made cash capital contributions to Hulu totaling $227 million and $99 million, respectively. We recognize our proportionate share of Hulu’s income and losses in equity in net income (losses) of investees, net. For the three and six months ended June 30, 2018, we recognized our proportionate share of Hulu’s losses of $107 million and $238 million, respectively. For the three and six months ended June 30, 2017, we recognized our proportionate share of Hulu’s losses of $52 million and $106 million,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Weather Channel</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In March 2018, we sold our investment in The Weather Channel cable network and recognized a pretax gain of $64 million in other income (loss), net.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Equity Securities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classify publicly traded investments with readily determinable fair values that are not accounted for under the equity method as marketable equity securities. Marketable equity securities are recorded at cost and adjusted to fair value at each reporting period. The changes in fair value between measurement dates are recorded in realized and unrealized gains (losses) on equity securities, net. The fair values of our marketable equity securities are based on Level 1 inputs that use quoted market prices.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Snap</w:t>
      </w:r>
    </w:p>
    <w:p>
      <w:pPr>
        <w:spacing w:after="0" w:line="7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March 2017, Comcast acquired an interest in Snap Inc. as part of its initial public offering. On March 31, 2017, Comcast contributed its investment in Snap to us as an equity contribution of $662 million, which was recorded in our condensed consolidated statement of equity based on the fair value of the investment as of March 31, 2017. We have classified our investment as a marketable equity security. Snap is a camera company whose primary product is Snapchat, a camera app that was created to help people communicate through short videos and images. As of June 30, 2018 and December 31, 2017, we had an investment in Snap of $385 million and $430 million, respectively. For the three and six months ended June 30, 2018, we recognized unrealized losses of $82 million and $45 million, respectively, in realized and unrealized gains (losses) on equity securities, net related to our investment in Snap.</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Nonmarketable Equity Securities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classify investments without readily determinable fair values that are not accounted for under the equity method as nonmarketable equity securities. The accounting guidance requires nonmarketable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We apply this measurement alternative to our nonmarketable equity securities. When an observable event occurs, we estimate the fair values of our nonmarketable equity securities based on Level 2 inputs that are derived from observable price changes of similar securities adjusted for insignificant differences in rights and obligations. The changes in value are recorded in realized and unrealized gains (losses) on equity securities, net.</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Supplemental Financial Information</w:t>
      </w:r>
    </w:p>
    <w:p>
      <w:pPr>
        <w:spacing w:after="0" w:line="1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Cash Payments for Interest and 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60" w:type="dxa"/>
            <w:vAlign w:val="bottom"/>
          </w:tcPr>
          <w:p>
            <w:pPr>
              <w:spacing w:after="0"/>
              <w:rPr>
                <w:sz w:val="14"/>
                <w:szCs w:val="14"/>
                <w:color w:val="auto"/>
              </w:rPr>
            </w:pPr>
          </w:p>
        </w:tc>
      </w:tr>
      <w:tr>
        <w:trPr>
          <w:trHeight w:val="188"/>
        </w:trPr>
        <w:tc>
          <w:tcPr>
            <w:tcW w:w="82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2018</w:t>
            </w:r>
          </w:p>
        </w:tc>
        <w:tc>
          <w:tcPr>
            <w:tcW w:w="5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rPr>
              <w:t>2017</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Interest</w:t>
            </w: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99"/>
              <w:spacing w:after="0"/>
              <w:rPr>
                <w:sz w:val="20"/>
                <w:szCs w:val="20"/>
                <w:color w:val="auto"/>
              </w:rPr>
            </w:pPr>
            <w:r>
              <w:rPr>
                <w:rFonts w:ascii="Arial" w:cs="Arial" w:eastAsia="Arial" w:hAnsi="Arial"/>
                <w:sz w:val="18"/>
                <w:szCs w:val="18"/>
                <w:color w:val="auto"/>
              </w:rPr>
              <w:t>218</w:t>
            </w:r>
          </w:p>
        </w:tc>
        <w:tc>
          <w:tcPr>
            <w:tcW w:w="6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287</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99"/>
              <w:spacing w:after="0"/>
              <w:rPr>
                <w:sz w:val="20"/>
                <w:szCs w:val="20"/>
                <w:color w:val="auto"/>
              </w:rPr>
            </w:pPr>
            <w:r>
              <w:rPr>
                <w:rFonts w:ascii="Arial" w:cs="Arial" w:eastAsia="Arial" w:hAnsi="Arial"/>
                <w:sz w:val="18"/>
                <w:szCs w:val="18"/>
                <w:color w:val="auto"/>
              </w:rPr>
              <w:t>225</w:t>
            </w:r>
          </w:p>
        </w:tc>
        <w:tc>
          <w:tcPr>
            <w:tcW w:w="6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149</w:t>
            </w:r>
          </w:p>
        </w:tc>
      </w:tr>
      <w:tr>
        <w:trPr>
          <w:trHeight w:val="27"/>
        </w:trPr>
        <w:tc>
          <w:tcPr>
            <w:tcW w:w="8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2018:</w:t>
      </w:r>
    </w:p>
    <w:p>
      <w:pPr>
        <w:spacing w:after="0" w:line="7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acquired $1.2 billion of property and equipment and intangible assets that were accrued but unpaid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received noncash contributions from noncontrolling interests totaling $391 million related to Universal Beijing Resort (see Note 5)</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1"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in the condensed consolidated balance sheet to the total of the amounts reported in our condensed consolidated statement of cash flows.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vMerge w:val="restart"/>
          </w:tcPr>
          <w:p>
            <w:pPr>
              <w:ind w:left="40"/>
              <w:spacing w:after="0"/>
              <w:rPr>
                <w:sz w:val="20"/>
                <w:szCs w:val="20"/>
                <w:color w:val="auto"/>
              </w:rPr>
            </w:pPr>
            <w:r>
              <w:rPr>
                <w:rFonts w:ascii="Arial" w:cs="Arial" w:eastAsia="Arial" w:hAnsi="Arial"/>
                <w:sz w:val="14"/>
                <w:szCs w:val="14"/>
                <w:color w:val="auto"/>
              </w:rPr>
              <w:t>(in millions)</w:t>
            </w:r>
          </w:p>
        </w:tc>
        <w:tc>
          <w:tcPr>
            <w:tcW w:w="1160" w:type="dxa"/>
            <w:vAlign w:val="bottom"/>
          </w:tcPr>
          <w:p>
            <w:pPr>
              <w:jc w:val="center"/>
              <w:ind w:left="559"/>
              <w:spacing w:after="0"/>
              <w:rPr>
                <w:sz w:val="20"/>
                <w:szCs w:val="20"/>
                <w:color w:val="auto"/>
              </w:rPr>
            </w:pPr>
            <w:r>
              <w:rPr>
                <w:rFonts w:ascii="Arial" w:cs="Arial" w:eastAsia="Arial" w:hAnsi="Arial"/>
                <w:sz w:val="14"/>
                <w:szCs w:val="14"/>
                <w:color w:val="auto"/>
                <w:w w:val="89"/>
              </w:rPr>
              <w:t>June 30,</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center"/>
              <w:ind w:right="176"/>
              <w:spacing w:after="0"/>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01"/>
        </w:trPr>
        <w:tc>
          <w:tcPr>
            <w:tcW w:w="8060" w:type="dxa"/>
            <w:vAlign w:val="bottom"/>
            <w:vMerge w:val="continue"/>
          </w:tcPr>
          <w:p>
            <w:pPr>
              <w:spacing w:after="0"/>
              <w:rPr>
                <w:sz w:val="8"/>
                <w:szCs w:val="8"/>
                <w:color w:val="auto"/>
              </w:rPr>
            </w:pPr>
          </w:p>
        </w:tc>
        <w:tc>
          <w:tcPr>
            <w:tcW w:w="1160" w:type="dxa"/>
            <w:vAlign w:val="bottom"/>
            <w:vMerge w:val="restart"/>
          </w:tcPr>
          <w:p>
            <w:pPr>
              <w:jc w:val="center"/>
              <w:ind w:left="599"/>
              <w:spacing w:after="0"/>
              <w:rPr>
                <w:sz w:val="20"/>
                <w:szCs w:val="20"/>
                <w:color w:val="auto"/>
              </w:rPr>
            </w:pPr>
            <w:r>
              <w:rPr>
                <w:rFonts w:ascii="Arial" w:cs="Arial" w:eastAsia="Arial" w:hAnsi="Arial"/>
                <w:sz w:val="14"/>
                <w:szCs w:val="14"/>
                <w:color w:val="auto"/>
                <w:w w:val="89"/>
              </w:rPr>
              <w:t>2018</w:t>
            </w: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60" w:type="dxa"/>
            <w:vAlign w:val="bottom"/>
            <w:vMerge w:val="restart"/>
          </w:tcPr>
          <w:p>
            <w:pPr>
              <w:jc w:val="center"/>
              <w:ind w:right="136"/>
              <w:spacing w:after="0"/>
              <w:rPr>
                <w:sz w:val="20"/>
                <w:szCs w:val="20"/>
                <w:color w:val="auto"/>
              </w:rPr>
            </w:pPr>
            <w:r>
              <w:rPr>
                <w:rFonts w:ascii="Arial" w:cs="Arial" w:eastAsia="Arial" w:hAnsi="Arial"/>
                <w:sz w:val="14"/>
                <w:szCs w:val="14"/>
                <w:color w:val="auto"/>
                <w:w w:val="89"/>
              </w:rPr>
              <w:t>2017</w:t>
            </w:r>
          </w:p>
        </w:tc>
        <w:tc>
          <w:tcPr>
            <w:tcW w:w="0" w:type="dxa"/>
            <w:vAlign w:val="bottom"/>
          </w:tcPr>
          <w:p>
            <w:pPr>
              <w:spacing w:after="0"/>
              <w:rPr>
                <w:sz w:val="1"/>
                <w:szCs w:val="1"/>
                <w:color w:val="auto"/>
              </w:rPr>
            </w:pPr>
          </w:p>
        </w:tc>
      </w:tr>
      <w:tr>
        <w:trPr>
          <w:trHeight w:val="87"/>
        </w:trPr>
        <w:tc>
          <w:tcPr>
            <w:tcW w:w="80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vMerge w:val="continue"/>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80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160" w:type="dxa"/>
            <w:vAlign w:val="bottom"/>
          </w:tcPr>
          <w:p>
            <w:pPr>
              <w:jc w:val="right"/>
              <w:ind w:right="799"/>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w w:val="84"/>
              </w:rPr>
              <w:t>1,283</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Restricted cash included in other noncurrent assets, net</w:t>
            </w:r>
          </w:p>
        </w:tc>
        <w:tc>
          <w:tcPr>
            <w:tcW w:w="1160" w:type="dxa"/>
            <w:vAlign w:val="bottom"/>
          </w:tcPr>
          <w:p>
            <w:pPr>
              <w:spacing w:after="0"/>
              <w:rPr>
                <w:sz w:val="23"/>
                <w:szCs w:val="23"/>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3"/>
                <w:szCs w:val="23"/>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80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1160" w:type="dxa"/>
            <w:vAlign w:val="bottom"/>
          </w:tcPr>
          <w:p>
            <w:pPr>
              <w:jc w:val="right"/>
              <w:ind w:right="799"/>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w w:val="84"/>
              </w:rPr>
              <w:t>1,314</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6"/>
              <w:spacing w:after="0"/>
              <w:rPr>
                <w:sz w:val="20"/>
                <w:szCs w:val="20"/>
                <w:color w:val="auto"/>
              </w:rPr>
            </w:pPr>
            <w:r>
              <w:rPr>
                <w:rFonts w:ascii="Arial" w:cs="Arial" w:eastAsia="Arial" w:hAnsi="Arial"/>
                <w:sz w:val="18"/>
                <w:szCs w:val="18"/>
                <w:b w:val="1"/>
                <w:bCs w:val="1"/>
                <w:color w:val="auto"/>
              </w:rPr>
              <w:t>2,377</w:t>
            </w:r>
          </w:p>
        </w:tc>
        <w:tc>
          <w:tcPr>
            <w:tcW w:w="0" w:type="dxa"/>
            <w:vAlign w:val="bottom"/>
          </w:tcPr>
          <w:p>
            <w:pPr>
              <w:spacing w:after="0"/>
              <w:rPr>
                <w:sz w:val="1"/>
                <w:szCs w:val="1"/>
                <w:color w:val="auto"/>
              </w:rPr>
            </w:pPr>
          </w:p>
        </w:tc>
      </w:tr>
      <w:tr>
        <w:trPr>
          <w:trHeight w:val="34"/>
        </w:trPr>
        <w:tc>
          <w:tcPr>
            <w:tcW w:w="80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5"/>
        </w:trPr>
        <w:tc>
          <w:tcPr>
            <w:tcW w:w="8060" w:type="dxa"/>
            <w:vAlign w:val="bottom"/>
          </w:tcPr>
          <w:p>
            <w:pPr>
              <w:ind w:left="3540"/>
              <w:spacing w:after="0"/>
              <w:rPr>
                <w:sz w:val="20"/>
                <w:szCs w:val="20"/>
                <w:color w:val="auto"/>
              </w:rPr>
            </w:pPr>
            <w:r>
              <w:rPr>
                <w:rFonts w:ascii="Arial" w:cs="Arial" w:eastAsia="Arial" w:hAnsi="Arial"/>
                <w:sz w:val="18"/>
                <w:szCs w:val="18"/>
                <w:b w:val="1"/>
                <w:bCs w:val="1"/>
                <w:color w:val="auto"/>
              </w:rPr>
              <w:t>Accumulated Other Comprehensive Income (Loss)</w:t>
            </w: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8060" w:type="dxa"/>
            <w:vAlign w:val="bottom"/>
          </w:tcPr>
          <w:p>
            <w:pPr>
              <w:spacing w:after="0"/>
              <w:rPr>
                <w:sz w:val="24"/>
                <w:szCs w:val="24"/>
                <w:color w:val="auto"/>
              </w:rPr>
            </w:pPr>
          </w:p>
        </w:tc>
        <w:tc>
          <w:tcPr>
            <w:tcW w:w="1160" w:type="dxa"/>
            <w:vAlign w:val="bottom"/>
          </w:tcPr>
          <w:p>
            <w:pPr>
              <w:jc w:val="center"/>
              <w:ind w:left="559"/>
              <w:spacing w:after="0"/>
              <w:rPr>
                <w:sz w:val="20"/>
                <w:szCs w:val="20"/>
                <w:color w:val="auto"/>
              </w:rPr>
            </w:pPr>
            <w:r>
              <w:rPr>
                <w:rFonts w:ascii="Arial" w:cs="Arial" w:eastAsia="Arial" w:hAnsi="Arial"/>
                <w:sz w:val="14"/>
                <w:szCs w:val="14"/>
                <w:color w:val="auto"/>
                <w:w w:val="89"/>
              </w:rPr>
              <w:t>June 30,</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center"/>
              <w:ind w:right="176"/>
              <w:spacing w:after="0"/>
              <w:rPr>
                <w:sz w:val="20"/>
                <w:szCs w:val="20"/>
                <w:color w:val="auto"/>
              </w:rPr>
            </w:pPr>
            <w:r>
              <w:rPr>
                <w:rFonts w:ascii="Arial" w:cs="Arial" w:eastAsia="Arial" w:hAnsi="Arial"/>
                <w:sz w:val="14"/>
                <w:szCs w:val="14"/>
                <w:color w:val="auto"/>
                <w:w w:val="89"/>
              </w:rPr>
              <w:t>June 30,</w:t>
            </w:r>
          </w:p>
        </w:tc>
        <w:tc>
          <w:tcPr>
            <w:tcW w:w="0" w:type="dxa"/>
            <w:vAlign w:val="bottom"/>
          </w:tcPr>
          <w:p>
            <w:pPr>
              <w:spacing w:after="0"/>
              <w:rPr>
                <w:sz w:val="1"/>
                <w:szCs w:val="1"/>
                <w:color w:val="auto"/>
              </w:rPr>
            </w:pPr>
          </w:p>
        </w:tc>
      </w:tr>
      <w:tr>
        <w:trPr>
          <w:trHeight w:val="188"/>
        </w:trPr>
        <w:tc>
          <w:tcPr>
            <w:tcW w:w="8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160" w:type="dxa"/>
            <w:vAlign w:val="bottom"/>
            <w:tcBorders>
              <w:bottom w:val="single" w:sz="8" w:color="auto"/>
            </w:tcBorders>
          </w:tcPr>
          <w:p>
            <w:pPr>
              <w:jc w:val="center"/>
              <w:ind w:left="599"/>
              <w:spacing w:after="0"/>
              <w:rPr>
                <w:sz w:val="20"/>
                <w:szCs w:val="20"/>
                <w:color w:val="auto"/>
              </w:rPr>
            </w:pPr>
            <w:r>
              <w:rPr>
                <w:rFonts w:ascii="Arial" w:cs="Arial" w:eastAsia="Arial" w:hAnsi="Arial"/>
                <w:sz w:val="14"/>
                <w:szCs w:val="14"/>
                <w:color w:val="auto"/>
                <w:w w:val="89"/>
              </w:rPr>
              <w:t>2018</w:t>
            </w:r>
          </w:p>
        </w:tc>
        <w:tc>
          <w:tcPr>
            <w:tcW w:w="5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color w:val="auto"/>
                <w:w w:val="89"/>
              </w:rPr>
              <w:t>2017</w:t>
            </w:r>
          </w:p>
        </w:tc>
        <w:tc>
          <w:tcPr>
            <w:tcW w:w="0" w:type="dxa"/>
            <w:vAlign w:val="bottom"/>
          </w:tcPr>
          <w:p>
            <w:pPr>
              <w:spacing w:after="0"/>
              <w:rPr>
                <w:sz w:val="1"/>
                <w:szCs w:val="1"/>
                <w:color w:val="auto"/>
              </w:rPr>
            </w:pPr>
          </w:p>
        </w:tc>
      </w:tr>
      <w:tr>
        <w:trPr>
          <w:trHeight w:val="243"/>
        </w:trPr>
        <w:tc>
          <w:tcPr>
            <w:tcW w:w="8060" w:type="dxa"/>
            <w:vAlign w:val="bottom"/>
          </w:tcPr>
          <w:p>
            <w:pPr>
              <w:ind w:left="40"/>
              <w:spacing w:after="0"/>
              <w:rPr>
                <w:sz w:val="20"/>
                <w:szCs w:val="20"/>
                <w:color w:val="auto"/>
              </w:rPr>
            </w:pPr>
            <w:r>
              <w:rPr>
                <w:rFonts w:ascii="Arial" w:cs="Arial" w:eastAsia="Arial" w:hAnsi="Arial"/>
                <w:sz w:val="18"/>
                <w:szCs w:val="18"/>
                <w:color w:val="auto"/>
              </w:rPr>
              <w:t>Unrealized gains (losses) on marketable securities</w:t>
            </w:r>
          </w:p>
        </w:tc>
        <w:tc>
          <w:tcPr>
            <w:tcW w:w="1160" w:type="dxa"/>
            <w:vAlign w:val="bottom"/>
          </w:tcPr>
          <w:p>
            <w:pPr>
              <w:jc w:val="right"/>
              <w:ind w:right="799"/>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Deferred gains (losses) on cash flow hedges</w:t>
            </w:r>
          </w:p>
        </w:tc>
        <w:tc>
          <w:tcPr>
            <w:tcW w:w="1160" w:type="dxa"/>
            <w:vAlign w:val="bottom"/>
          </w:tcPr>
          <w:p>
            <w:pPr>
              <w:spacing w:after="0"/>
              <w:rPr>
                <w:sz w:val="23"/>
                <w:szCs w:val="23"/>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23"/>
                <w:szCs w:val="23"/>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Unrecognized gains (losses) on employee benefit obligations</w:t>
            </w:r>
          </w:p>
        </w:tc>
        <w:tc>
          <w:tcPr>
            <w:tcW w:w="1160" w:type="dxa"/>
            <w:vAlign w:val="bottom"/>
          </w:tcPr>
          <w:p>
            <w:pPr>
              <w:spacing w:after="0"/>
              <w:rPr>
                <w:sz w:val="23"/>
                <w:szCs w:val="23"/>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119</w:t>
            </w:r>
          </w:p>
        </w:tc>
        <w:tc>
          <w:tcPr>
            <w:tcW w:w="360" w:type="dxa"/>
            <w:vAlign w:val="bottom"/>
          </w:tcPr>
          <w:p>
            <w:pPr>
              <w:spacing w:after="0"/>
              <w:rPr>
                <w:sz w:val="23"/>
                <w:szCs w:val="23"/>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0"/>
        </w:trPr>
        <w:tc>
          <w:tcPr>
            <w:tcW w:w="8060" w:type="dxa"/>
            <w:vAlign w:val="bottom"/>
          </w:tcPr>
          <w:p>
            <w:pPr>
              <w:ind w:left="40"/>
              <w:spacing w:after="0"/>
              <w:rPr>
                <w:sz w:val="20"/>
                <w:szCs w:val="20"/>
                <w:color w:val="auto"/>
              </w:rPr>
            </w:pPr>
            <w:r>
              <w:rPr>
                <w:rFonts w:ascii="Arial" w:cs="Arial" w:eastAsia="Arial" w:hAnsi="Arial"/>
                <w:sz w:val="18"/>
                <w:szCs w:val="18"/>
                <w:color w:val="auto"/>
              </w:rPr>
              <w:t>Cumulative translation adjustments</w:t>
            </w:r>
          </w:p>
        </w:tc>
        <w:tc>
          <w:tcPr>
            <w:tcW w:w="1160" w:type="dxa"/>
            <w:vAlign w:val="bottom"/>
          </w:tcPr>
          <w:p>
            <w:pPr>
              <w:spacing w:after="0"/>
              <w:rPr>
                <w:sz w:val="23"/>
                <w:szCs w:val="23"/>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91</w:t>
            </w:r>
          </w:p>
        </w:tc>
        <w:tc>
          <w:tcPr>
            <w:tcW w:w="360" w:type="dxa"/>
            <w:vAlign w:val="bottom"/>
          </w:tcPr>
          <w:p>
            <w:pPr>
              <w:spacing w:after="0"/>
              <w:rPr>
                <w:sz w:val="23"/>
                <w:szCs w:val="23"/>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80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Accumulated other comprehensive income (loss)</w:t>
            </w:r>
          </w:p>
        </w:tc>
        <w:tc>
          <w:tcPr>
            <w:tcW w:w="1160" w:type="dxa"/>
            <w:vAlign w:val="bottom"/>
          </w:tcPr>
          <w:p>
            <w:pPr>
              <w:jc w:val="right"/>
              <w:ind w:right="799"/>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rPr>
              <w:t>218</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6"/>
              <w:spacing w:after="0"/>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r>
        <w:trPr>
          <w:trHeight w:val="34"/>
        </w:trPr>
        <w:tc>
          <w:tcPr>
            <w:tcW w:w="80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Related Party Transactions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In the ordinary course of our business, we enter into transactions with Comcast.</w:t>
      </w:r>
    </w:p>
    <w:p>
      <w:pPr>
        <w:spacing w:after="0" w:line="7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generate revenue from Comcast primarily from the distribution of our cable network programming, the fees received under retransmission consent agreements in our Broadcast Television segment and, to a lesser extent, the sale of advertising and our owned programming, and we incur expenses primarily related to advertising and various support services provided by Comcast to us.</w:t>
      </w:r>
    </w:p>
    <w:p>
      <w:pPr>
        <w:spacing w:after="0" w:line="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Comcast is also the counterparty to one of our contractual obligations. As of June 30, 2018, the carrying value of the liability associated with this contractual obligation was $383 million.</w:t>
      </w:r>
    </w:p>
    <w:p>
      <w:pPr>
        <w:spacing w:after="0" w:line="22" w:lineRule="exact"/>
        <w:rPr>
          <w:sz w:val="20"/>
          <w:szCs w:val="20"/>
          <w:color w:val="auto"/>
        </w:rPr>
      </w:pPr>
    </w:p>
    <w:p>
      <w:pPr>
        <w:jc w:val="center"/>
        <w:ind w:right="40"/>
        <w:spacing w:after="0" w:line="412" w:lineRule="auto"/>
        <w:rPr>
          <w:sz w:val="20"/>
          <w:szCs w:val="20"/>
          <w:color w:val="auto"/>
        </w:rPr>
      </w:pPr>
      <w:r>
        <w:rPr>
          <w:rFonts w:ascii="Arial" w:cs="Arial" w:eastAsia="Arial" w:hAnsi="Arial"/>
          <w:sz w:val="18"/>
          <w:szCs w:val="18"/>
          <w:color w:val="auto"/>
        </w:rPr>
        <w:t xml:space="preserve">The following tables present transactions with Comcast and its consolidated subsidiaries that are included in our condensed consolidated financial statements. </w:t>
      </w:r>
      <w:r>
        <w:rPr>
          <w:rFonts w:ascii="Arial" w:cs="Arial" w:eastAsia="Arial" w:hAnsi="Arial"/>
          <w:sz w:val="18"/>
          <w:szCs w:val="18"/>
          <w:b w:val="1"/>
          <w:bCs w:val="1"/>
          <w:color w:val="auto"/>
        </w:rPr>
        <w:t>Condensed Consolidated Statement of Income</w:t>
      </w:r>
    </w:p>
    <w:tbl>
      <w:tblPr>
        <w:tblLayout w:type="fixed"/>
        <w:tblInd w:w="0" w:type="dxa"/>
        <w:tblCellMar>
          <w:top w:w="0" w:type="dxa"/>
          <w:left w:w="0" w:type="dxa"/>
          <w:bottom w:w="0" w:type="dxa"/>
          <w:right w:w="0" w:type="dxa"/>
        </w:tblCellMar>
      </w:tblPr>
      <w:tr>
        <w:trPr>
          <w:trHeight w:val="149"/>
        </w:trPr>
        <w:tc>
          <w:tcPr>
            <w:tcW w:w="5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gridSpan w:val="2"/>
          </w:tcPr>
          <w:p>
            <w:pPr>
              <w:jc w:val="right"/>
              <w:ind w:right="234"/>
              <w:spacing w:after="0" w:line="149" w:lineRule="exact"/>
              <w:rPr>
                <w:sz w:val="20"/>
                <w:szCs w:val="20"/>
                <w:color w:val="auto"/>
              </w:rPr>
            </w:pPr>
            <w:r>
              <w:rPr>
                <w:rFonts w:ascii="Arial" w:cs="Arial" w:eastAsia="Arial" w:hAnsi="Arial"/>
                <w:sz w:val="14"/>
                <w:szCs w:val="14"/>
                <w:color w:val="auto"/>
                <w:w w:val="91"/>
              </w:rPr>
              <w:t>Three Months Ended</w:t>
            </w: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80" w:type="dxa"/>
            <w:vAlign w:val="bottom"/>
            <w:gridSpan w:val="3"/>
          </w:tcPr>
          <w:p>
            <w:pPr>
              <w:jc w:val="right"/>
              <w:ind w:right="734"/>
              <w:spacing w:after="0" w:line="149" w:lineRule="exact"/>
              <w:rPr>
                <w:sz w:val="20"/>
                <w:szCs w:val="20"/>
                <w:color w:val="auto"/>
              </w:rPr>
            </w:pPr>
            <w:r>
              <w:rPr>
                <w:rFonts w:ascii="Arial" w:cs="Arial" w:eastAsia="Arial" w:hAnsi="Arial"/>
                <w:sz w:val="14"/>
                <w:szCs w:val="14"/>
                <w:color w:val="auto"/>
              </w:rPr>
              <w:t>Six Months Ended</w:t>
            </w:r>
          </w:p>
        </w:tc>
      </w:tr>
      <w:tr>
        <w:trPr>
          <w:trHeight w:val="188"/>
        </w:trPr>
        <w:tc>
          <w:tcPr>
            <w:tcW w:w="5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614"/>
              <w:spacing w:after="0"/>
              <w:rPr>
                <w:sz w:val="20"/>
                <w:szCs w:val="20"/>
                <w:color w:val="auto"/>
              </w:rPr>
            </w:pPr>
            <w:r>
              <w:rPr>
                <w:rFonts w:ascii="Arial" w:cs="Arial" w:eastAsia="Arial" w:hAnsi="Arial"/>
                <w:sz w:val="14"/>
                <w:szCs w:val="14"/>
                <w:color w:val="auto"/>
              </w:rPr>
              <w:t>June 30</w:t>
            </w:r>
          </w:p>
        </w:tc>
        <w:tc>
          <w:tcPr>
            <w:tcW w:w="5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June 30</w:t>
            </w:r>
          </w:p>
        </w:tc>
        <w:tc>
          <w:tcPr>
            <w:tcW w:w="1080" w:type="dxa"/>
            <w:vAlign w:val="bottom"/>
            <w:tcBorders>
              <w:bottom w:val="single" w:sz="8" w:color="auto"/>
            </w:tcBorders>
          </w:tcPr>
          <w:p>
            <w:pPr>
              <w:spacing w:after="0"/>
              <w:rPr>
                <w:sz w:val="16"/>
                <w:szCs w:val="16"/>
                <w:color w:val="auto"/>
              </w:rPr>
            </w:pPr>
          </w:p>
        </w:tc>
      </w:tr>
      <w:tr>
        <w:trPr>
          <w:trHeight w:val="264"/>
        </w:trPr>
        <w:tc>
          <w:tcPr>
            <w:tcW w:w="5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2018</w:t>
            </w:r>
          </w:p>
        </w:tc>
        <w:tc>
          <w:tcPr>
            <w:tcW w:w="6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5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rPr>
              <w:t>2018</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color w:val="auto"/>
              </w:rPr>
              <w:t>2017</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b w:val="1"/>
                <w:bCs w:val="1"/>
                <w:color w:val="auto"/>
              </w:rPr>
              <w:t>Transactions with Comcast and Consolidated Subsidiaries</w:t>
            </w: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5340" w:type="dxa"/>
            <w:vAlign w:val="bottom"/>
          </w:tcPr>
          <w:p>
            <w:pPr>
              <w:ind w:left="380"/>
              <w:spacing w:after="0"/>
              <w:rPr>
                <w:sz w:val="20"/>
                <w:szCs w:val="20"/>
                <w:color w:val="auto"/>
              </w:rPr>
            </w:pPr>
            <w:r>
              <w:rPr>
                <w:rFonts w:ascii="Arial" w:cs="Arial" w:eastAsia="Arial" w:hAnsi="Arial"/>
                <w:sz w:val="18"/>
                <w:szCs w:val="18"/>
                <w:color w:val="auto"/>
              </w:rPr>
              <w:t>Revenue</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7"/>
              <w:spacing w:after="0"/>
              <w:rPr>
                <w:sz w:val="20"/>
                <w:szCs w:val="20"/>
                <w:color w:val="auto"/>
              </w:rPr>
            </w:pPr>
            <w:r>
              <w:rPr>
                <w:rFonts w:ascii="Arial" w:cs="Arial" w:eastAsia="Arial" w:hAnsi="Arial"/>
                <w:sz w:val="18"/>
                <w:szCs w:val="18"/>
                <w:color w:val="auto"/>
              </w:rPr>
              <w:t>480</w:t>
            </w:r>
          </w:p>
        </w:tc>
        <w:tc>
          <w:tcPr>
            <w:tcW w:w="940" w:type="dxa"/>
            <w:vAlign w:val="bottom"/>
          </w:tcPr>
          <w:p>
            <w:pPr>
              <w:jc w:val="right"/>
              <w:ind w:right="614"/>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w w:val="99"/>
              </w:rPr>
              <w:t>460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6"/>
              <w:spacing w:after="0"/>
              <w:rPr>
                <w:sz w:val="20"/>
                <w:szCs w:val="20"/>
                <w:color w:val="auto"/>
              </w:rPr>
            </w:pPr>
            <w:r>
              <w:rPr>
                <w:rFonts w:ascii="Arial" w:cs="Arial" w:eastAsia="Arial" w:hAnsi="Arial"/>
                <w:sz w:val="18"/>
                <w:szCs w:val="18"/>
                <w:color w:val="auto"/>
              </w:rPr>
              <w:t>1,074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919</w:t>
            </w:r>
          </w:p>
        </w:tc>
      </w:tr>
      <w:tr>
        <w:trPr>
          <w:trHeight w:val="270"/>
        </w:trPr>
        <w:tc>
          <w:tcPr>
            <w:tcW w:w="5340" w:type="dxa"/>
            <w:vAlign w:val="bottom"/>
          </w:tcPr>
          <w:p>
            <w:pPr>
              <w:ind w:left="380"/>
              <w:spacing w:after="0"/>
              <w:rPr>
                <w:sz w:val="20"/>
                <w:szCs w:val="20"/>
                <w:color w:val="auto"/>
              </w:rPr>
            </w:pPr>
            <w:r>
              <w:rPr>
                <w:rFonts w:ascii="Arial" w:cs="Arial" w:eastAsia="Arial" w:hAnsi="Arial"/>
                <w:sz w:val="18"/>
                <w:szCs w:val="18"/>
                <w:color w:val="auto"/>
              </w:rPr>
              <w:t>Total costs and expenses</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57"/>
              <w:spacing w:after="0"/>
              <w:rPr>
                <w:sz w:val="20"/>
                <w:szCs w:val="20"/>
                <w:color w:val="auto"/>
              </w:rPr>
            </w:pPr>
            <w:r>
              <w:rPr>
                <w:rFonts w:ascii="Arial" w:cs="Arial" w:eastAsia="Arial" w:hAnsi="Arial"/>
                <w:sz w:val="18"/>
                <w:szCs w:val="18"/>
                <w:color w:val="auto"/>
              </w:rPr>
              <w:t>(42)</w:t>
            </w:r>
          </w:p>
        </w:tc>
        <w:tc>
          <w:tcPr>
            <w:tcW w:w="940" w:type="dxa"/>
            <w:vAlign w:val="bottom"/>
          </w:tcPr>
          <w:p>
            <w:pPr>
              <w:jc w:val="right"/>
              <w:ind w:right="614"/>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(49)</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6"/>
              <w:spacing w:after="0"/>
              <w:rPr>
                <w:sz w:val="20"/>
                <w:szCs w:val="20"/>
                <w:color w:val="auto"/>
              </w:rPr>
            </w:pPr>
            <w:r>
              <w:rPr>
                <w:rFonts w:ascii="Arial" w:cs="Arial" w:eastAsia="Arial" w:hAnsi="Arial"/>
                <w:sz w:val="18"/>
                <w:szCs w:val="18"/>
                <w:color w:val="auto"/>
              </w:rPr>
              <w:t>(103)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0"/>
        </w:trPr>
        <w:tc>
          <w:tcPr>
            <w:tcW w:w="5340" w:type="dxa"/>
            <w:vAlign w:val="bottom"/>
          </w:tcPr>
          <w:p>
            <w:pPr>
              <w:ind w:left="380"/>
              <w:spacing w:after="0"/>
              <w:rPr>
                <w:sz w:val="20"/>
                <w:szCs w:val="20"/>
                <w:color w:val="auto"/>
              </w:rPr>
            </w:pPr>
            <w:r>
              <w:rPr>
                <w:rFonts w:ascii="Arial" w:cs="Arial" w:eastAsia="Arial" w:hAnsi="Arial"/>
                <w:sz w:val="18"/>
                <w:szCs w:val="18"/>
                <w:color w:val="auto"/>
              </w:rPr>
              <w:t>Interest expense and investment and other income (loss), net</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57"/>
              <w:spacing w:after="0"/>
              <w:rPr>
                <w:sz w:val="20"/>
                <w:szCs w:val="20"/>
                <w:color w:val="auto"/>
              </w:rPr>
            </w:pPr>
            <w:r>
              <w:rPr>
                <w:rFonts w:ascii="Arial" w:cs="Arial" w:eastAsia="Arial" w:hAnsi="Arial"/>
                <w:sz w:val="18"/>
                <w:szCs w:val="18"/>
                <w:color w:val="auto"/>
              </w:rPr>
              <w:t>(20)</w:t>
            </w:r>
          </w:p>
        </w:tc>
        <w:tc>
          <w:tcPr>
            <w:tcW w:w="940" w:type="dxa"/>
            <w:vAlign w:val="bottom"/>
          </w:tcPr>
          <w:p>
            <w:pPr>
              <w:jc w:val="right"/>
              <w:ind w:right="614"/>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(28)</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6"/>
              <w:spacing w:after="0"/>
              <w:rPr>
                <w:sz w:val="20"/>
                <w:szCs w:val="20"/>
                <w:color w:val="auto"/>
              </w:rPr>
            </w:pPr>
            <w:r>
              <w:rPr>
                <w:rFonts w:ascii="Arial" w:cs="Arial" w:eastAsia="Arial" w:hAnsi="Arial"/>
                <w:sz w:val="18"/>
                <w:szCs w:val="18"/>
                <w:color w:val="auto"/>
              </w:rPr>
              <w:t>(43)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5720" w:type="dxa"/>
            <w:vAlign w:val="bottom"/>
            <w:tcBorders>
              <w:bottom w:val="single" w:sz="8" w:color="auto"/>
            </w:tcBorders>
            <w:gridSpan w:val="2"/>
          </w:tcPr>
          <w:p>
            <w:pPr>
              <w:spacing w:after="0"/>
              <w:rPr>
                <w:sz w:val="2"/>
                <w:szCs w:val="2"/>
                <w:color w:val="auto"/>
              </w:rPr>
            </w:pPr>
          </w:p>
        </w:tc>
        <w:tc>
          <w:tcPr>
            <w:tcW w:w="232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426"/>
        </w:trPr>
        <w:tc>
          <w:tcPr>
            <w:tcW w:w="8040" w:type="dxa"/>
            <w:vAlign w:val="bottom"/>
            <w:gridSpan w:val="5"/>
          </w:tcPr>
          <w:p>
            <w:pPr>
              <w:ind w:left="3980"/>
              <w:spacing w:after="0"/>
              <w:rPr>
                <w:sz w:val="20"/>
                <w:szCs w:val="20"/>
                <w:color w:val="auto"/>
              </w:rPr>
            </w:pPr>
            <w:r>
              <w:rPr>
                <w:rFonts w:ascii="Arial" w:cs="Arial" w:eastAsia="Arial" w:hAnsi="Arial"/>
                <w:sz w:val="18"/>
                <w:szCs w:val="18"/>
                <w:b w:val="1"/>
                <w:bCs w:val="1"/>
                <w:color w:val="auto"/>
              </w:rPr>
              <w:t>Condensed Consolidated Balance Sheet</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65"/>
        </w:trPr>
        <w:tc>
          <w:tcPr>
            <w:tcW w:w="5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416"/>
              <w:spacing w:after="0"/>
              <w:rPr>
                <w:sz w:val="20"/>
                <w:szCs w:val="20"/>
                <w:color w:val="auto"/>
              </w:rPr>
            </w:pPr>
            <w:r>
              <w:rPr>
                <w:rFonts w:ascii="Arial" w:cs="Arial" w:eastAsia="Arial" w:hAnsi="Arial"/>
                <w:sz w:val="14"/>
                <w:szCs w:val="14"/>
                <w:color w:val="auto"/>
              </w:rPr>
              <w:t>June 30,</w:t>
            </w:r>
          </w:p>
        </w:tc>
        <w:tc>
          <w:tcPr>
            <w:tcW w:w="300" w:type="dxa"/>
            <w:vAlign w:val="bottom"/>
          </w:tcPr>
          <w:p>
            <w:pPr>
              <w:spacing w:after="0"/>
              <w:rPr>
                <w:sz w:val="23"/>
                <w:szCs w:val="23"/>
                <w:color w:val="auto"/>
              </w:rPr>
            </w:pPr>
          </w:p>
        </w:tc>
        <w:tc>
          <w:tcPr>
            <w:tcW w:w="1080" w:type="dxa"/>
            <w:vAlign w:val="bottom"/>
          </w:tcPr>
          <w:p>
            <w:pPr>
              <w:jc w:val="right"/>
              <w:ind w:right="154"/>
              <w:spacing w:after="0"/>
              <w:rPr>
                <w:sz w:val="20"/>
                <w:szCs w:val="20"/>
                <w:color w:val="auto"/>
              </w:rPr>
            </w:pPr>
            <w:r>
              <w:rPr>
                <w:rFonts w:ascii="Arial" w:cs="Arial" w:eastAsia="Arial" w:hAnsi="Arial"/>
                <w:sz w:val="14"/>
                <w:szCs w:val="14"/>
                <w:color w:val="auto"/>
                <w:w w:val="93"/>
              </w:rPr>
              <w:t>December 31,</w:t>
            </w:r>
          </w:p>
        </w:tc>
      </w:tr>
      <w:tr>
        <w:trPr>
          <w:trHeight w:val="188"/>
        </w:trPr>
        <w:tc>
          <w:tcPr>
            <w:tcW w:w="5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rPr>
              <w:t>2018</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color w:val="auto"/>
              </w:rPr>
              <w:t>2017</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b w:val="1"/>
                <w:bCs w:val="1"/>
                <w:color w:val="auto"/>
              </w:rPr>
              <w:t>Transactions with Comcast and Consolidated Subsidiaries</w:t>
            </w: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534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3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6"/>
              <w:spacing w:after="0"/>
              <w:rPr>
                <w:sz w:val="20"/>
                <w:szCs w:val="20"/>
                <w:color w:val="auto"/>
              </w:rPr>
            </w:pPr>
            <w:r>
              <w:rPr>
                <w:rFonts w:ascii="Arial" w:cs="Arial" w:eastAsia="Arial" w:hAnsi="Arial"/>
                <w:sz w:val="18"/>
                <w:szCs w:val="18"/>
                <w:color w:val="auto"/>
              </w:rPr>
              <w:t>350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326</w:t>
            </w:r>
          </w:p>
        </w:tc>
      </w:tr>
      <w:tr>
        <w:trPr>
          <w:trHeight w:val="270"/>
        </w:trPr>
        <w:tc>
          <w:tcPr>
            <w:tcW w:w="5340" w:type="dxa"/>
            <w:vAlign w:val="bottom"/>
          </w:tcPr>
          <w:p>
            <w:pPr>
              <w:ind w:left="380"/>
              <w:spacing w:after="0"/>
              <w:rPr>
                <w:sz w:val="20"/>
                <w:szCs w:val="20"/>
                <w:color w:val="auto"/>
              </w:rPr>
            </w:pPr>
            <w:r>
              <w:rPr>
                <w:rFonts w:ascii="Arial" w:cs="Arial" w:eastAsia="Arial" w:hAnsi="Arial"/>
                <w:sz w:val="18"/>
                <w:szCs w:val="18"/>
                <w:color w:val="auto"/>
                <w:w w:val="93"/>
              </w:rPr>
              <w:t>Accounts payable and accrued expenses related to trade creditors</w:t>
            </w:r>
          </w:p>
        </w:tc>
        <w:tc>
          <w:tcPr>
            <w:tcW w:w="3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6"/>
              <w:spacing w:after="0"/>
              <w:rPr>
                <w:sz w:val="20"/>
                <w:szCs w:val="20"/>
                <w:color w:val="auto"/>
              </w:rPr>
            </w:pPr>
            <w:r>
              <w:rPr>
                <w:rFonts w:ascii="Arial" w:cs="Arial" w:eastAsia="Arial" w:hAnsi="Arial"/>
                <w:sz w:val="18"/>
                <w:szCs w:val="18"/>
                <w:color w:val="auto"/>
              </w:rPr>
              <w:t>38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54</w:t>
            </w:r>
          </w:p>
        </w:tc>
      </w:tr>
      <w:tr>
        <w:trPr>
          <w:trHeight w:val="270"/>
        </w:trPr>
        <w:tc>
          <w:tcPr>
            <w:tcW w:w="534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6"/>
              <w:spacing w:after="0"/>
              <w:rPr>
                <w:sz w:val="20"/>
                <w:szCs w:val="20"/>
                <w:color w:val="auto"/>
              </w:rPr>
            </w:pPr>
            <w:r>
              <w:rPr>
                <w:rFonts w:ascii="Arial" w:cs="Arial" w:eastAsia="Arial" w:hAnsi="Arial"/>
                <w:sz w:val="18"/>
                <w:szCs w:val="18"/>
                <w:color w:val="auto"/>
              </w:rPr>
              <w:t>11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50</w:t>
            </w:r>
          </w:p>
        </w:tc>
      </w:tr>
      <w:tr>
        <w:trPr>
          <w:trHeight w:val="270"/>
        </w:trPr>
        <w:tc>
          <w:tcPr>
            <w:tcW w:w="5340" w:type="dxa"/>
            <w:vAlign w:val="bottom"/>
          </w:tcPr>
          <w:p>
            <w:pPr>
              <w:ind w:left="380"/>
              <w:spacing w:after="0"/>
              <w:rPr>
                <w:sz w:val="20"/>
                <w:szCs w:val="20"/>
                <w:color w:val="auto"/>
              </w:rPr>
            </w:pPr>
            <w:r>
              <w:rPr>
                <w:rFonts w:ascii="Arial" w:cs="Arial" w:eastAsia="Arial" w:hAnsi="Arial"/>
                <w:sz w:val="18"/>
                <w:szCs w:val="18"/>
                <w:color w:val="auto"/>
              </w:rPr>
              <w:t>Note payable to Comcast</w:t>
            </w:r>
          </w:p>
        </w:tc>
        <w:tc>
          <w:tcPr>
            <w:tcW w:w="3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6"/>
              <w:spacing w:after="0"/>
              <w:rPr>
                <w:sz w:val="20"/>
                <w:szCs w:val="20"/>
                <w:color w:val="auto"/>
              </w:rPr>
            </w:pPr>
            <w:r>
              <w:rPr>
                <w:rFonts w:ascii="Arial" w:cs="Arial" w:eastAsia="Arial" w:hAnsi="Arial"/>
                <w:sz w:val="18"/>
                <w:szCs w:val="18"/>
                <w:color w:val="auto"/>
              </w:rPr>
              <w:t>139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1,831</w:t>
            </w:r>
          </w:p>
        </w:tc>
      </w:tr>
      <w:tr>
        <w:trPr>
          <w:trHeight w:val="270"/>
        </w:trPr>
        <w:tc>
          <w:tcPr>
            <w:tcW w:w="5340" w:type="dxa"/>
            <w:vAlign w:val="bottom"/>
          </w:tcPr>
          <w:p>
            <w:pPr>
              <w:ind w:left="380"/>
              <w:spacing w:after="0"/>
              <w:rPr>
                <w:sz w:val="20"/>
                <w:szCs w:val="20"/>
                <w:color w:val="auto"/>
              </w:rPr>
            </w:pPr>
            <w:r>
              <w:rPr>
                <w:rFonts w:ascii="Arial" w:cs="Arial" w:eastAsia="Arial" w:hAnsi="Arial"/>
                <w:sz w:val="18"/>
                <w:szCs w:val="18"/>
                <w:color w:val="auto"/>
              </w:rPr>
              <w:t>Long-term debt</w:t>
            </w:r>
          </w:p>
        </w:tc>
        <w:tc>
          <w:tcPr>
            <w:tcW w:w="3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6"/>
              <w:spacing w:after="0"/>
              <w:rPr>
                <w:sz w:val="20"/>
                <w:szCs w:val="20"/>
                <w:color w:val="auto"/>
              </w:rPr>
            </w:pPr>
            <w:r>
              <w:rPr>
                <w:rFonts w:ascii="Arial" w:cs="Arial" w:eastAsia="Arial" w:hAnsi="Arial"/>
                <w:sz w:val="18"/>
                <w:szCs w:val="18"/>
                <w:color w:val="auto"/>
              </w:rPr>
              <w:t>610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610</w:t>
            </w:r>
          </w:p>
        </w:tc>
      </w:tr>
      <w:tr>
        <w:trPr>
          <w:trHeight w:val="270"/>
        </w:trPr>
        <w:tc>
          <w:tcPr>
            <w:tcW w:w="5340" w:type="dxa"/>
            <w:vAlign w:val="bottom"/>
          </w:tcPr>
          <w:p>
            <w:pPr>
              <w:ind w:left="380"/>
              <w:spacing w:after="0"/>
              <w:rPr>
                <w:sz w:val="20"/>
                <w:szCs w:val="20"/>
                <w:color w:val="auto"/>
              </w:rPr>
            </w:pPr>
            <w:r>
              <w:rPr>
                <w:rFonts w:ascii="Arial" w:cs="Arial" w:eastAsia="Arial" w:hAnsi="Arial"/>
                <w:sz w:val="18"/>
                <w:szCs w:val="18"/>
                <w:color w:val="auto"/>
              </w:rPr>
              <w:t>Other noncurrent liabilities</w:t>
            </w:r>
          </w:p>
        </w:tc>
        <w:tc>
          <w:tcPr>
            <w:tcW w:w="3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6"/>
              <w:spacing w:after="0"/>
              <w:rPr>
                <w:sz w:val="20"/>
                <w:szCs w:val="20"/>
                <w:color w:val="auto"/>
              </w:rPr>
            </w:pPr>
            <w:r>
              <w:rPr>
                <w:rFonts w:ascii="Arial" w:cs="Arial" w:eastAsia="Arial" w:hAnsi="Arial"/>
                <w:sz w:val="18"/>
                <w:szCs w:val="18"/>
                <w:color w:val="auto"/>
              </w:rPr>
              <w:t>389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389</w:t>
            </w:r>
          </w:p>
        </w:tc>
      </w:tr>
      <w:tr>
        <w:trPr>
          <w:trHeight w:val="27"/>
        </w:trPr>
        <w:tc>
          <w:tcPr>
            <w:tcW w:w="5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507"/>
        </w:trPr>
        <w:tc>
          <w:tcPr>
            <w:tcW w:w="5340" w:type="dxa"/>
            <w:vAlign w:val="bottom"/>
          </w:tcPr>
          <w:p>
            <w:pPr>
              <w:spacing w:after="0"/>
              <w:rPr>
                <w:sz w:val="24"/>
                <w:szCs w:val="24"/>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64</w:t>
            </w: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Comcast maintains share-based compensation plans that consist primarily of awards of restricted share units and stock options to certain employees and directors as part of its approach to long-term incentive compensation. Additionally, through its employee stock purchase plans, employees are able to purchase shares of Comcast common stock at a discount through payroll deductions. Certain of our employees participate in these plans and the expense associated with their participation is settled in cash with Comcast. For the three months ended June 30, 2018 and 2017, we recognized share-based compensation expense of $46 million and $40 million, respectively. For the six months ended June 30, 2018 and 2017, we recognized share-based compensation expense of $78 million and $65 million, respectively.</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1"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10.4</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EMPLOYMENT AGREEMENT</w:t>
      </w:r>
    </w:p>
    <w:p>
      <w:pPr>
        <w:spacing w:after="0" w:line="226" w:lineRule="exact"/>
        <w:rPr>
          <w:sz w:val="20"/>
          <w:szCs w:val="20"/>
          <w:color w:val="auto"/>
        </w:rPr>
      </w:pPr>
    </w:p>
    <w:p>
      <w:pPr>
        <w:jc w:val="both"/>
        <w:ind w:right="800" w:firstLine="648"/>
        <w:spacing w:after="0" w:line="253" w:lineRule="auto"/>
        <w:rPr>
          <w:sz w:val="20"/>
          <w:szCs w:val="20"/>
          <w:color w:val="auto"/>
        </w:rPr>
      </w:pPr>
      <w:r>
        <w:rPr>
          <w:rFonts w:ascii="Arial" w:cs="Arial" w:eastAsia="Arial" w:hAnsi="Arial"/>
          <w:sz w:val="22"/>
          <w:szCs w:val="22"/>
          <w:color w:val="auto"/>
        </w:rPr>
        <w:t>This EMPLOYMENT AGREEMENT (the “Agreement”) is entered into as of the 1st day of March, 2018, between COMCAST CORPORATION, a Pennsylvania corporation (together with its subsidiaries, the “Company”), and DAVID N. WATSON (“Employee”).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BACKGROUND</w:t>
      </w:r>
    </w:p>
    <w:p>
      <w:pPr>
        <w:spacing w:after="0" w:line="226" w:lineRule="exact"/>
        <w:rPr>
          <w:sz w:val="20"/>
          <w:szCs w:val="20"/>
          <w:color w:val="auto"/>
        </w:rPr>
      </w:pPr>
    </w:p>
    <w:p>
      <w:pPr>
        <w:ind w:right="60" w:firstLine="648"/>
        <w:spacing w:after="0" w:line="312" w:lineRule="auto"/>
        <w:rPr>
          <w:sz w:val="20"/>
          <w:szCs w:val="20"/>
          <w:color w:val="auto"/>
        </w:rPr>
      </w:pPr>
      <w:r>
        <w:rPr>
          <w:rFonts w:ascii="Arial" w:cs="Arial" w:eastAsia="Arial" w:hAnsi="Arial"/>
          <w:sz w:val="19"/>
          <w:szCs w:val="19"/>
          <w:color w:val="auto"/>
        </w:rPr>
        <w:t>Employee desires to have Employee’s employment relationship with the Company be governed by the terms and conditions of this Agreement, which include material benefits favorable to Employee. In return for such material benefits, Employee is agreeing to the terms and conditions contained in this Agreement, which include material obligations on Employee.</w:t>
      </w:r>
    </w:p>
    <w:p>
      <w:pPr>
        <w:spacing w:after="0" w:line="128"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AGREEMENT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Intending to be legally bound, the Company and Employee agree as follows:</w:t>
      </w:r>
    </w:p>
    <w:p>
      <w:pPr>
        <w:spacing w:after="0" w:line="220" w:lineRule="exact"/>
        <w:rPr>
          <w:sz w:val="20"/>
          <w:szCs w:val="20"/>
          <w:color w:val="auto"/>
        </w:rPr>
      </w:pPr>
    </w:p>
    <w:p>
      <w:pPr>
        <w:ind w:left="1000" w:hanging="344"/>
        <w:spacing w:after="0"/>
        <w:tabs>
          <w:tab w:leader="none" w:pos="100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Position and Duties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400" w:firstLine="1305"/>
        <w:spacing w:after="0" w:line="254" w:lineRule="auto"/>
        <w:tabs>
          <w:tab w:leader="none" w:pos="1716" w:val="left"/>
        </w:tabs>
        <w:numPr>
          <w:ilvl w:val="1"/>
          <w:numId w:val="19"/>
        </w:numPr>
        <w:rPr>
          <w:rFonts w:ascii="Arial" w:cs="Arial" w:eastAsia="Arial" w:hAnsi="Arial"/>
          <w:sz w:val="22"/>
          <w:szCs w:val="22"/>
          <w:color w:val="auto"/>
        </w:rPr>
      </w:pPr>
      <w:r>
        <w:rPr>
          <w:rFonts w:ascii="Arial" w:cs="Arial" w:eastAsia="Arial" w:hAnsi="Arial"/>
          <w:sz w:val="22"/>
          <w:szCs w:val="22"/>
          <w:color w:val="auto"/>
        </w:rPr>
        <w:t>Employee shall serve and the Company shall employ Employee in the position set forth on Schedule 1. Employee shall report directly to the Company’s Chief Executive Officer (currently Brian L. Roberts), in Philadelphia, Pennsylvania. The duties of Employee from time to time hereunder will be those assigned by the Company commensurate with Employee’s education, skills and experience.</w:t>
      </w:r>
    </w:p>
    <w:p>
      <w:pPr>
        <w:spacing w:after="0" w:line="185" w:lineRule="exact"/>
        <w:rPr>
          <w:rFonts w:ascii="Arial" w:cs="Arial" w:eastAsia="Arial" w:hAnsi="Arial"/>
          <w:sz w:val="22"/>
          <w:szCs w:val="22"/>
          <w:color w:val="auto"/>
        </w:rPr>
      </w:pPr>
    </w:p>
    <w:p>
      <w:pPr>
        <w:ind w:right="40" w:firstLine="1305"/>
        <w:spacing w:after="0" w:line="300" w:lineRule="auto"/>
        <w:tabs>
          <w:tab w:leader="none" w:pos="1728" w:val="left"/>
        </w:tabs>
        <w:numPr>
          <w:ilvl w:val="1"/>
          <w:numId w:val="19"/>
        </w:numPr>
        <w:rPr>
          <w:rFonts w:ascii="Arial" w:cs="Arial" w:eastAsia="Arial" w:hAnsi="Arial"/>
          <w:sz w:val="19"/>
          <w:szCs w:val="19"/>
          <w:color w:val="auto"/>
        </w:rPr>
      </w:pPr>
      <w:r>
        <w:rPr>
          <w:rFonts w:ascii="Arial" w:cs="Arial" w:eastAsia="Arial" w:hAnsi="Arial"/>
          <w:sz w:val="19"/>
          <w:szCs w:val="19"/>
          <w:color w:val="auto"/>
        </w:rPr>
        <w:t>Employee shall work full-time and devote Employee’s reasonable best efforts to the business of the Company in a manner that will further the interests of the Company. Without the prior written consent of the Company, Employee shall not work in self-employment nor, directly or indirectly, work for or otherwise provide services to or on behalf of any person or entity, other than the Company. Notwithstanding the foregoing, Employee may engage in non-compensatory civic and charitable activities with the consent of the Company, which consent shall not be unreasonably withheld or delayed.</w:t>
      </w:r>
    </w:p>
    <w:p>
      <w:pPr>
        <w:spacing w:after="0" w:line="147" w:lineRule="exact"/>
        <w:rPr>
          <w:rFonts w:ascii="Arial" w:cs="Arial" w:eastAsia="Arial" w:hAnsi="Arial"/>
          <w:sz w:val="19"/>
          <w:szCs w:val="19"/>
          <w:color w:val="auto"/>
        </w:rPr>
      </w:pPr>
    </w:p>
    <w:p>
      <w:pPr>
        <w:ind w:right="160" w:firstLine="1305"/>
        <w:spacing w:after="0" w:line="276" w:lineRule="auto"/>
        <w:tabs>
          <w:tab w:leader="none" w:pos="1716" w:val="left"/>
        </w:tabs>
        <w:numPr>
          <w:ilvl w:val="1"/>
          <w:numId w:val="19"/>
        </w:numPr>
        <w:rPr>
          <w:rFonts w:ascii="Arial" w:cs="Arial" w:eastAsia="Arial" w:hAnsi="Arial"/>
          <w:sz w:val="22"/>
          <w:szCs w:val="22"/>
          <w:color w:val="auto"/>
        </w:rPr>
      </w:pPr>
      <w:r>
        <w:rPr>
          <w:rFonts w:ascii="Arial" w:cs="Arial" w:eastAsia="Arial" w:hAnsi="Arial"/>
          <w:sz w:val="22"/>
          <w:szCs w:val="22"/>
          <w:color w:val="auto"/>
        </w:rPr>
        <w:t>The parties shall comply with all policies of the Company applicable to them, including those contained in the Employee Handbook and the Code of Conduct.</w:t>
      </w:r>
    </w:p>
    <w:p>
      <w:pPr>
        <w:spacing w:after="0" w:line="160" w:lineRule="exact"/>
        <w:rPr>
          <w:rFonts w:ascii="Arial" w:cs="Arial" w:eastAsia="Arial" w:hAnsi="Arial"/>
          <w:sz w:val="22"/>
          <w:szCs w:val="22"/>
          <w:color w:val="auto"/>
        </w:rPr>
      </w:pPr>
    </w:p>
    <w:p>
      <w:pPr>
        <w:ind w:right="40" w:firstLine="656"/>
        <w:spacing w:after="0" w:line="300" w:lineRule="auto"/>
        <w:tabs>
          <w:tab w:leader="none" w:pos="990"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The term of this Agreement (the “Term”) shall be from the date first-above written (the “Commencement Date”) through the first to occur of: (a) the date Employee’s employment is terminated in accordance with Paragraph 6; or (b) December 31, 2022 (the date specified in subparagraph (b) is referred to as the “Regular End Date”). Notwithstanding the end of the Term, the Company’s obligations to make any payments expressly set forth herein to be made after the Term, and the parties’ rights and obligations contained in Paragraphs 8, 9 and 10, shall be enforceable after the end of the Term.</w:t>
      </w:r>
    </w:p>
    <w:p>
      <w:pPr>
        <w:sectPr>
          <w:pgSz w:w="11900" w:h="16838" w:orient="portrait"/>
          <w:cols w:equalWidth="0" w:num="1">
            <w:col w:w="11420"/>
          </w:cols>
          <w:pgMar w:left="240" w:top="121" w:right="239" w:bottom="1440" w:gutter="0" w:footer="0" w:header="0"/>
        </w:sectPr>
      </w:pPr>
    </w:p>
    <w:bookmarkStart w:id="69" w:name="page70"/>
    <w:bookmarkEnd w:id="69"/>
    <w:p>
      <w:pPr>
        <w:ind w:left="1000" w:hanging="344"/>
        <w:spacing w:after="0"/>
        <w:tabs>
          <w:tab w:leader="none" w:pos="1000" w:val="left"/>
        </w:tabs>
        <w:numPr>
          <w:ilvl w:val="2"/>
          <w:numId w:val="20"/>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firstLine="1305"/>
        <w:spacing w:after="0" w:line="297" w:lineRule="auto"/>
        <w:tabs>
          <w:tab w:leader="none" w:pos="1716" w:val="left"/>
        </w:tabs>
        <w:numPr>
          <w:ilvl w:val="3"/>
          <w:numId w:val="20"/>
        </w:numPr>
        <w:rPr>
          <w:rFonts w:ascii="Arial" w:cs="Arial" w:eastAsia="Arial" w:hAnsi="Arial"/>
          <w:sz w:val="19"/>
          <w:szCs w:val="19"/>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Employee’s base salary (“Base Salary”) from the Commencement Date through February 28, 2019 shall be at the annual rate set forth on Schedule 1. Employee shall thereafter be entitled to participate in any salary increase program offered during the Term, on a basis consistent with that applicable to other employees at Employee’s level, taking into account Employee’s position, duties and performance. Base Salary shall not be reduced other than as part of a salary reduction program effected on a basis consistent with that applicable to other employees at Employee’s level. Base Salary, less normal deductions, shall be paid to Employee in accordance with the Company’s payroll practices in effect from time to time.</w:t>
      </w:r>
    </w:p>
    <w:p>
      <w:pPr>
        <w:spacing w:after="0" w:line="146" w:lineRule="exact"/>
        <w:rPr>
          <w:rFonts w:ascii="Arial" w:cs="Arial" w:eastAsia="Arial" w:hAnsi="Arial"/>
          <w:sz w:val="19"/>
          <w:szCs w:val="19"/>
          <w:color w:val="auto"/>
        </w:rPr>
      </w:pPr>
    </w:p>
    <w:p>
      <w:pPr>
        <w:ind w:right="260" w:firstLine="1305"/>
        <w:spacing w:after="0" w:line="307" w:lineRule="auto"/>
        <w:tabs>
          <w:tab w:leader="none" w:pos="1728" w:val="left"/>
        </w:tabs>
        <w:numPr>
          <w:ilvl w:val="3"/>
          <w:numId w:val="20"/>
        </w:numPr>
        <w:rPr>
          <w:rFonts w:ascii="Arial" w:cs="Arial" w:eastAsia="Arial" w:hAnsi="Arial"/>
          <w:sz w:val="19"/>
          <w:szCs w:val="19"/>
          <w:color w:val="auto"/>
        </w:rPr>
      </w:pPr>
      <w:r>
        <w:rPr>
          <w:rFonts w:ascii="Arial" w:cs="Arial" w:eastAsia="Arial" w:hAnsi="Arial"/>
          <w:sz w:val="19"/>
          <w:szCs w:val="19"/>
          <w:u w:val="single" w:color="auto"/>
          <w:color w:val="auto"/>
        </w:rPr>
        <w:t>Restricted Stock and Stock Option Grants</w:t>
      </w:r>
      <w:r>
        <w:rPr>
          <w:rFonts w:ascii="Arial" w:cs="Arial" w:eastAsia="Arial" w:hAnsi="Arial"/>
          <w:sz w:val="19"/>
          <w:szCs w:val="19"/>
          <w:color w:val="auto"/>
        </w:rPr>
        <w:t>. Continuing in 2018 and with respect to each subsequent calendar year in the Term, Employee shall be entitled to participate in any annual broad-based grant programs under the Company’s Restricted Stock Plan and/or Stock Option Plan (or any successor equity-based compensation plan or plans) on a basis consistent with that applicable to other employees at Employee’s level, taking into account Employee’s position, duties and performance.</w:t>
      </w:r>
    </w:p>
    <w:p>
      <w:pPr>
        <w:spacing w:after="0" w:line="138" w:lineRule="exact"/>
        <w:rPr>
          <w:rFonts w:ascii="Arial" w:cs="Arial" w:eastAsia="Arial" w:hAnsi="Arial"/>
          <w:sz w:val="19"/>
          <w:szCs w:val="19"/>
          <w:color w:val="auto"/>
        </w:rPr>
      </w:pPr>
    </w:p>
    <w:p>
      <w:pPr>
        <w:ind w:left="1720" w:hanging="415"/>
        <w:spacing w:after="0"/>
        <w:tabs>
          <w:tab w:leader="none" w:pos="1720" w:val="left"/>
        </w:tabs>
        <w:numPr>
          <w:ilvl w:val="3"/>
          <w:numId w:val="20"/>
        </w:numPr>
        <w:rPr>
          <w:rFonts w:ascii="Arial" w:cs="Arial" w:eastAsia="Arial" w:hAnsi="Arial"/>
          <w:sz w:val="22"/>
          <w:szCs w:val="22"/>
          <w:color w:val="auto"/>
        </w:rPr>
      </w:pPr>
      <w:r>
        <w:rPr>
          <w:rFonts w:ascii="Arial" w:cs="Arial" w:eastAsia="Arial" w:hAnsi="Arial"/>
          <w:sz w:val="22"/>
          <w:szCs w:val="22"/>
          <w:u w:val="single" w:color="auto"/>
          <w:color w:val="auto"/>
        </w:rPr>
        <w:t>Cash Bonuses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20" w:firstLine="8"/>
        <w:spacing w:after="0" w:line="250" w:lineRule="auto"/>
        <w:tabs>
          <w:tab w:leader="none" w:pos="420" w:val="left"/>
        </w:tabs>
        <w:numPr>
          <w:ilvl w:val="0"/>
          <w:numId w:val="21"/>
        </w:numPr>
        <w:rPr>
          <w:rFonts w:ascii="Arial" w:cs="Arial" w:eastAsia="Arial" w:hAnsi="Arial"/>
          <w:sz w:val="22"/>
          <w:szCs w:val="22"/>
          <w:color w:val="auto"/>
        </w:rPr>
      </w:pPr>
      <w:r>
        <w:rPr>
          <w:rFonts w:ascii="Arial" w:cs="Arial" w:eastAsia="Arial" w:hAnsi="Arial"/>
          <w:sz w:val="22"/>
          <w:szCs w:val="22"/>
          <w:color w:val="auto"/>
        </w:rPr>
        <w:t>Employee shall be entitled to participate in the Company’s Cash Bonus Plan as set forth on Schedule 1 through December 31, 2018. Employee’s participation in such Plan will be pursuant to the terms and conditions thereof. The performance goals applicable to such participation will be consistent with those applicable to other employees at Employee’s level, taking into account Employee’s position and duties.</w:t>
      </w:r>
    </w:p>
    <w:p>
      <w:pPr>
        <w:spacing w:after="0" w:line="188" w:lineRule="exact"/>
        <w:rPr>
          <w:rFonts w:ascii="Arial" w:cs="Arial" w:eastAsia="Arial" w:hAnsi="Arial"/>
          <w:sz w:val="22"/>
          <w:szCs w:val="22"/>
          <w:color w:val="auto"/>
        </w:rPr>
      </w:pPr>
    </w:p>
    <w:p>
      <w:pPr>
        <w:ind w:right="220" w:firstLine="548"/>
        <w:spacing w:after="0" w:line="251" w:lineRule="auto"/>
        <w:tabs>
          <w:tab w:leader="none" w:pos="984" w:val="left"/>
        </w:tabs>
        <w:numPr>
          <w:ilvl w:val="1"/>
          <w:numId w:val="21"/>
        </w:numPr>
        <w:rPr>
          <w:rFonts w:ascii="Arial" w:cs="Arial" w:eastAsia="Arial" w:hAnsi="Arial"/>
          <w:sz w:val="22"/>
          <w:szCs w:val="22"/>
          <w:color w:val="auto"/>
        </w:rPr>
      </w:pPr>
      <w:r>
        <w:rPr>
          <w:rFonts w:ascii="Arial" w:cs="Arial" w:eastAsia="Arial" w:hAnsi="Arial"/>
          <w:sz w:val="22"/>
          <w:szCs w:val="22"/>
          <w:color w:val="auto"/>
        </w:rPr>
        <w:t>With respect to each subsequent calendar year in the Term, Employee shall be entitled to continue to participate in the Company’s Cash Bonus Plan (or any successor performance-based cash incentive compensation plan) pursuant to the terms and conditions thereof and on a basis consistent with that applicable to other employees at Employee’s level, taking into account Employee’s position, duties and performance, provided that in no event will the percentage of eligible earnings target bonus potential thereunder be less than 250%.</w:t>
      </w:r>
    </w:p>
    <w:p>
      <w:pPr>
        <w:spacing w:after="0" w:line="189" w:lineRule="exact"/>
        <w:rPr>
          <w:rFonts w:ascii="Arial" w:cs="Arial" w:eastAsia="Arial" w:hAnsi="Arial"/>
          <w:sz w:val="22"/>
          <w:szCs w:val="22"/>
          <w:color w:val="auto"/>
        </w:rPr>
      </w:pPr>
    </w:p>
    <w:p>
      <w:pPr>
        <w:ind w:left="1740" w:hanging="435"/>
        <w:spacing w:after="0"/>
        <w:tabs>
          <w:tab w:leader="none" w:pos="1740" w:val="left"/>
        </w:tabs>
        <w:numPr>
          <w:ilvl w:val="3"/>
          <w:numId w:val="21"/>
        </w:numPr>
        <w:rPr>
          <w:rFonts w:ascii="Arial" w:cs="Arial" w:eastAsia="Arial" w:hAnsi="Arial"/>
          <w:sz w:val="22"/>
          <w:szCs w:val="22"/>
          <w:color w:val="auto"/>
        </w:rPr>
      </w:pPr>
      <w:r>
        <w:rPr>
          <w:rFonts w:ascii="Arial" w:cs="Arial" w:eastAsia="Arial" w:hAnsi="Arial"/>
          <w:sz w:val="22"/>
          <w:szCs w:val="22"/>
          <w:u w:val="single" w:color="auto"/>
          <w:color w:val="auto"/>
        </w:rPr>
        <w:t>Deferred Compensation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620" w:firstLine="1953"/>
        <w:spacing w:after="0" w:line="263" w:lineRule="auto"/>
        <w:tabs>
          <w:tab w:leader="none" w:pos="2797" w:val="left"/>
        </w:tabs>
        <w:numPr>
          <w:ilvl w:val="4"/>
          <w:numId w:val="21"/>
        </w:numPr>
        <w:rPr>
          <w:rFonts w:ascii="Arial" w:cs="Arial" w:eastAsia="Arial" w:hAnsi="Arial"/>
          <w:sz w:val="22"/>
          <w:szCs w:val="22"/>
          <w:color w:val="auto"/>
        </w:rPr>
      </w:pPr>
      <w:r>
        <w:rPr>
          <w:rFonts w:ascii="Arial" w:cs="Arial" w:eastAsia="Arial" w:hAnsi="Arial"/>
          <w:sz w:val="22"/>
          <w:szCs w:val="22"/>
          <w:color w:val="auto"/>
        </w:rPr>
        <w:t>Employee shall be entitled to participate in the Company’s deferred compensation plans and programs on the same terms as the Company’s other senior executive officers.</w:t>
      </w:r>
    </w:p>
    <w:p>
      <w:pPr>
        <w:spacing w:after="0" w:line="215" w:lineRule="exact"/>
        <w:rPr>
          <w:rFonts w:ascii="Arial" w:cs="Arial" w:eastAsia="Arial" w:hAnsi="Arial"/>
          <w:sz w:val="22"/>
          <w:szCs w:val="22"/>
          <w:color w:val="auto"/>
        </w:rPr>
      </w:pPr>
    </w:p>
    <w:p>
      <w:pPr>
        <w:jc w:val="both"/>
        <w:ind w:right="100" w:firstLine="1953"/>
        <w:spacing w:after="0" w:line="291" w:lineRule="auto"/>
        <w:tabs>
          <w:tab w:leader="none" w:pos="2857" w:val="left"/>
        </w:tabs>
        <w:numPr>
          <w:ilvl w:val="4"/>
          <w:numId w:val="21"/>
        </w:numPr>
        <w:rPr>
          <w:rFonts w:ascii="Arial" w:cs="Arial" w:eastAsia="Arial" w:hAnsi="Arial"/>
          <w:sz w:val="19"/>
          <w:szCs w:val="19"/>
          <w:color w:val="auto"/>
        </w:rPr>
      </w:pPr>
      <w:r>
        <w:rPr>
          <w:rFonts w:ascii="Arial" w:cs="Arial" w:eastAsia="Arial" w:hAnsi="Arial"/>
          <w:sz w:val="19"/>
          <w:szCs w:val="19"/>
          <w:color w:val="auto"/>
        </w:rPr>
        <w:t>In addition, the Company shall credit to Employee’s account under, and pursuant to the terms and conditions of, the Company’s 2005 Deferred Compensation Plan (or any successor plan), (A) as of April 1, 2018, $1,407,099, and</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 as of January 1 of each of the following calendar years, the following amounts:</w:t>
      </w:r>
    </w:p>
    <w:p>
      <w:pPr>
        <w:spacing w:after="0" w:line="202" w:lineRule="exact"/>
        <w:rPr>
          <w:sz w:val="20"/>
          <w:szCs w:val="20"/>
          <w:color w:val="auto"/>
        </w:rPr>
      </w:pPr>
    </w:p>
    <w:p>
      <w:pPr>
        <w:ind w:left="2600"/>
        <w:spacing w:after="0"/>
        <w:tabs>
          <w:tab w:leader="none" w:pos="3340" w:val="left"/>
        </w:tabs>
        <w:rPr>
          <w:sz w:val="20"/>
          <w:szCs w:val="20"/>
          <w:color w:val="auto"/>
        </w:rPr>
      </w:pPr>
      <w:r>
        <w:rPr>
          <w:rFonts w:ascii="Arial" w:cs="Arial" w:eastAsia="Arial" w:hAnsi="Arial"/>
          <w:sz w:val="22"/>
          <w:szCs w:val="22"/>
          <w:u w:val="single" w:color="auto"/>
          <w:color w:val="auto"/>
        </w:rPr>
        <w:t>Year</w:t>
      </w:r>
      <w:r>
        <w:rPr>
          <w:sz w:val="20"/>
          <w:szCs w:val="20"/>
          <w:color w:val="auto"/>
        </w:rPr>
        <w:tab/>
      </w:r>
      <w:r>
        <w:rPr>
          <w:rFonts w:ascii="Arial" w:cs="Arial" w:eastAsia="Arial" w:hAnsi="Arial"/>
          <w:sz w:val="22"/>
          <w:szCs w:val="22"/>
          <w:u w:val="single" w:color="auto"/>
          <w:color w:val="auto"/>
        </w:rPr>
        <w:t>Amount</w:t>
      </w:r>
    </w:p>
    <w:p>
      <w:pPr>
        <w:spacing w:after="0" w:line="22" w:lineRule="exact"/>
        <w:rPr>
          <w:sz w:val="20"/>
          <w:szCs w:val="20"/>
          <w:color w:val="auto"/>
        </w:rPr>
      </w:pPr>
    </w:p>
    <w:p>
      <w:pPr>
        <w:ind w:left="2600"/>
        <w:spacing w:after="0"/>
        <w:tabs>
          <w:tab w:leader="none" w:pos="3380" w:val="left"/>
        </w:tabs>
        <w:rPr>
          <w:sz w:val="20"/>
          <w:szCs w:val="20"/>
          <w:color w:val="auto"/>
        </w:rPr>
      </w:pPr>
      <w:r>
        <w:rPr>
          <w:rFonts w:ascii="Arial" w:cs="Arial" w:eastAsia="Arial" w:hAnsi="Arial"/>
          <w:sz w:val="22"/>
          <w:szCs w:val="22"/>
          <w:color w:val="auto"/>
        </w:rPr>
        <w:t>2019</w:t>
      </w:r>
      <w:r>
        <w:rPr>
          <w:sz w:val="20"/>
          <w:szCs w:val="20"/>
          <w:color w:val="auto"/>
        </w:rPr>
        <w:tab/>
      </w:r>
      <w:r>
        <w:rPr>
          <w:rFonts w:ascii="Arial" w:cs="Arial" w:eastAsia="Arial" w:hAnsi="Arial"/>
          <w:sz w:val="22"/>
          <w:szCs w:val="22"/>
          <w:color w:val="auto"/>
        </w:rPr>
        <w:t>$1,477,454</w:t>
      </w:r>
    </w:p>
    <w:p>
      <w:pPr>
        <w:spacing w:after="0" w:line="17" w:lineRule="exact"/>
        <w:rPr>
          <w:sz w:val="20"/>
          <w:szCs w:val="20"/>
          <w:color w:val="auto"/>
        </w:rPr>
      </w:pPr>
    </w:p>
    <w:p>
      <w:pPr>
        <w:ind w:left="2600"/>
        <w:spacing w:after="0"/>
        <w:tabs>
          <w:tab w:leader="none" w:pos="3380" w:val="left"/>
        </w:tabs>
        <w:rPr>
          <w:sz w:val="20"/>
          <w:szCs w:val="20"/>
          <w:color w:val="auto"/>
        </w:rPr>
      </w:pPr>
      <w:r>
        <w:rPr>
          <w:rFonts w:ascii="Arial" w:cs="Arial" w:eastAsia="Arial" w:hAnsi="Arial"/>
          <w:sz w:val="22"/>
          <w:szCs w:val="22"/>
          <w:color w:val="auto"/>
        </w:rPr>
        <w:t>2020</w:t>
      </w:r>
      <w:r>
        <w:rPr>
          <w:sz w:val="20"/>
          <w:szCs w:val="20"/>
          <w:color w:val="auto"/>
        </w:rPr>
        <w:tab/>
      </w:r>
      <w:r>
        <w:rPr>
          <w:rFonts w:ascii="Arial" w:cs="Arial" w:eastAsia="Arial" w:hAnsi="Arial"/>
          <w:sz w:val="22"/>
          <w:szCs w:val="22"/>
          <w:color w:val="auto"/>
        </w:rPr>
        <w:t>$1,551,327</w:t>
      </w:r>
    </w:p>
    <w:p>
      <w:pPr>
        <w:spacing w:after="0" w:line="17" w:lineRule="exact"/>
        <w:rPr>
          <w:sz w:val="20"/>
          <w:szCs w:val="20"/>
          <w:color w:val="auto"/>
        </w:rPr>
      </w:pPr>
    </w:p>
    <w:p>
      <w:pPr>
        <w:ind w:left="2600"/>
        <w:spacing w:after="0"/>
        <w:tabs>
          <w:tab w:leader="none" w:pos="3380" w:val="left"/>
        </w:tabs>
        <w:rPr>
          <w:sz w:val="20"/>
          <w:szCs w:val="20"/>
          <w:color w:val="auto"/>
        </w:rPr>
      </w:pPr>
      <w:r>
        <w:rPr>
          <w:rFonts w:ascii="Arial" w:cs="Arial" w:eastAsia="Arial" w:hAnsi="Arial"/>
          <w:sz w:val="22"/>
          <w:szCs w:val="22"/>
          <w:color w:val="auto"/>
        </w:rPr>
        <w:t>2021</w:t>
      </w:r>
      <w:r>
        <w:rPr>
          <w:sz w:val="20"/>
          <w:szCs w:val="20"/>
          <w:color w:val="auto"/>
        </w:rPr>
        <w:tab/>
      </w:r>
      <w:r>
        <w:rPr>
          <w:rFonts w:ascii="Arial" w:cs="Arial" w:eastAsia="Arial" w:hAnsi="Arial"/>
          <w:sz w:val="22"/>
          <w:szCs w:val="22"/>
          <w:color w:val="auto"/>
        </w:rPr>
        <w:t>$1,628,893</w:t>
      </w:r>
    </w:p>
    <w:p>
      <w:pPr>
        <w:spacing w:after="0" w:line="17" w:lineRule="exact"/>
        <w:rPr>
          <w:sz w:val="20"/>
          <w:szCs w:val="20"/>
          <w:color w:val="auto"/>
        </w:rPr>
      </w:pPr>
    </w:p>
    <w:p>
      <w:pPr>
        <w:ind w:left="2600"/>
        <w:spacing w:after="0"/>
        <w:tabs>
          <w:tab w:leader="none" w:pos="3380" w:val="left"/>
        </w:tabs>
        <w:rPr>
          <w:sz w:val="20"/>
          <w:szCs w:val="20"/>
          <w:color w:val="auto"/>
        </w:rPr>
      </w:pPr>
      <w:r>
        <w:rPr>
          <w:rFonts w:ascii="Arial" w:cs="Arial" w:eastAsia="Arial" w:hAnsi="Arial"/>
          <w:sz w:val="22"/>
          <w:szCs w:val="22"/>
          <w:color w:val="auto"/>
        </w:rPr>
        <w:t>2022</w:t>
      </w:r>
      <w:r>
        <w:rPr>
          <w:sz w:val="20"/>
          <w:szCs w:val="20"/>
          <w:color w:val="auto"/>
        </w:rPr>
        <w:tab/>
      </w:r>
      <w:r>
        <w:rPr>
          <w:rFonts w:ascii="Arial" w:cs="Arial" w:eastAsia="Arial" w:hAnsi="Arial"/>
          <w:sz w:val="22"/>
          <w:szCs w:val="22"/>
          <w:color w:val="auto"/>
        </w:rPr>
        <w:t>$1,710,338</w:t>
      </w:r>
    </w:p>
    <w:p>
      <w:pPr>
        <w:sectPr>
          <w:pgSz w:w="11900" w:h="16838" w:orient="portrait"/>
          <w:cols w:equalWidth="0" w:num="1">
            <w:col w:w="11400"/>
          </w:cols>
          <w:pgMar w:left="240" w:top="807" w:right="259" w:bottom="1440" w:gutter="0" w:footer="0" w:header="0"/>
        </w:sectPr>
      </w:pPr>
    </w:p>
    <w:bookmarkStart w:id="70" w:name="page71"/>
    <w:bookmarkEnd w:id="70"/>
    <w:p>
      <w:pPr>
        <w:ind w:left="-8" w:firstLine="656"/>
        <w:spacing w:after="0" w:line="260" w:lineRule="auto"/>
        <w:tabs>
          <w:tab w:leader="none" w:pos="982" w:val="left"/>
        </w:tabs>
        <w:numPr>
          <w:ilvl w:val="2"/>
          <w:numId w:val="22"/>
        </w:numPr>
        <w:rPr>
          <w:rFonts w:ascii="Arial" w:cs="Arial" w:eastAsia="Arial" w:hAnsi="Arial"/>
          <w:sz w:val="21"/>
          <w:szCs w:val="21"/>
          <w:color w:val="auto"/>
        </w:rPr>
      </w:pPr>
      <w:r>
        <w:rPr>
          <w:rFonts w:ascii="Arial" w:cs="Arial" w:eastAsia="Arial" w:hAnsi="Arial"/>
          <w:sz w:val="21"/>
          <w:szCs w:val="21"/>
          <w:u w:val="single" w:color="auto"/>
          <w:color w:val="auto"/>
        </w:rPr>
        <w:t>Benefit Plans and Programs</w:t>
      </w:r>
      <w:r>
        <w:rPr>
          <w:rFonts w:ascii="Arial" w:cs="Arial" w:eastAsia="Arial" w:hAnsi="Arial"/>
          <w:sz w:val="21"/>
          <w:szCs w:val="21"/>
          <w:color w:val="auto"/>
        </w:rPr>
        <w:t>. Employee shall be entitled to: (a) participate in the Company’s health and welfare and other employee benefit plans and programs (including group insurance programs and vacation benefits) on terms (including cost) as are consistent with those made available to other employees at Employee’s level, taking into account Employee’s position and duties, in accordance with the terms of such plans and programs; and (b) applicable directors and officers liability insurance and indemnification and advancement of expenses provisions relating to claims made by third parties against Employee in Employee’s role as a director, officer or employee) (the items listed in subparagraphs (a) and (b) collectively, “Benefit Plans”). Nothing in this Agreement shall limit the Company’s right to modify or discontinue any Benefit Plans at any time, provided no such action may adversely affect any vested rights of Employee thereunder. The provisions of this Paragraph 4 shall not apply to compensation and benefit plans and programs specifically addressed in this Agreement, in which case the applicable other terms of this Agreement shall control.</w:t>
      </w:r>
    </w:p>
    <w:p>
      <w:pPr>
        <w:spacing w:after="0" w:line="179" w:lineRule="exact"/>
        <w:rPr>
          <w:rFonts w:ascii="Arial" w:cs="Arial" w:eastAsia="Arial" w:hAnsi="Arial"/>
          <w:sz w:val="21"/>
          <w:szCs w:val="21"/>
          <w:color w:val="auto"/>
        </w:rPr>
      </w:pPr>
    </w:p>
    <w:p>
      <w:pPr>
        <w:ind w:left="-8" w:right="120" w:firstLine="656"/>
        <w:spacing w:after="0" w:line="254" w:lineRule="auto"/>
        <w:tabs>
          <w:tab w:leader="none" w:pos="982" w:val="left"/>
        </w:tabs>
        <w:numPr>
          <w:ilvl w:val="2"/>
          <w:numId w:val="22"/>
        </w:numPr>
        <w:rPr>
          <w:rFonts w:ascii="Arial" w:cs="Arial" w:eastAsia="Arial" w:hAnsi="Arial"/>
          <w:sz w:val="22"/>
          <w:szCs w:val="22"/>
          <w:color w:val="auto"/>
        </w:rPr>
      </w:pPr>
      <w:r>
        <w:rPr>
          <w:rFonts w:ascii="Arial" w:cs="Arial" w:eastAsia="Arial" w:hAnsi="Arial"/>
          <w:sz w:val="22"/>
          <w:szCs w:val="22"/>
          <w:u w:val="single" w:color="auto"/>
          <w:color w:val="auto"/>
        </w:rPr>
        <w:t>Business Expenses</w:t>
      </w:r>
      <w:r>
        <w:rPr>
          <w:rFonts w:ascii="Arial" w:cs="Arial" w:eastAsia="Arial" w:hAnsi="Arial"/>
          <w:sz w:val="22"/>
          <w:szCs w:val="22"/>
          <w:color w:val="auto"/>
        </w:rPr>
        <w:t>. The Company shall pay or reimburse Employee for reasonable travel, lodging, meal, entertainment and other expenses incurred by Employee in connection with the performance of Employee’s duties hereunder, upon presentation of receipts therefor submitted to the Company on a timely basis and in accordance with the Company’s policies and practices in effect from time to time.</w:t>
      </w:r>
    </w:p>
    <w:p>
      <w:pPr>
        <w:spacing w:after="0" w:line="185" w:lineRule="exact"/>
        <w:rPr>
          <w:rFonts w:ascii="Arial" w:cs="Arial" w:eastAsia="Arial" w:hAnsi="Arial"/>
          <w:sz w:val="22"/>
          <w:szCs w:val="22"/>
          <w:color w:val="auto"/>
        </w:rPr>
      </w:pPr>
    </w:p>
    <w:p>
      <w:pPr>
        <w:ind w:left="-8" w:right="60" w:firstLine="656"/>
        <w:spacing w:after="0" w:line="254" w:lineRule="auto"/>
        <w:tabs>
          <w:tab w:leader="none" w:pos="982" w:val="left"/>
        </w:tabs>
        <w:numPr>
          <w:ilvl w:val="2"/>
          <w:numId w:val="22"/>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Employee’s employment, and the Company's obligations under this Agreement (excluding any obligations the Company may have under Paragraph 7, any other obligations expressly set forth herein as surviving termination of employment, and any obligations with respect to any vested rights of Employee under any compensation or benefit plans or programs), shall or may be terminated, in the circumstances set forth below.</w:t>
      </w:r>
    </w:p>
    <w:p>
      <w:pPr>
        <w:spacing w:after="0" w:line="185" w:lineRule="exact"/>
        <w:rPr>
          <w:rFonts w:ascii="Arial" w:cs="Arial" w:eastAsia="Arial" w:hAnsi="Arial"/>
          <w:sz w:val="22"/>
          <w:szCs w:val="22"/>
          <w:color w:val="auto"/>
        </w:rPr>
      </w:pPr>
    </w:p>
    <w:p>
      <w:pPr>
        <w:ind w:left="1712" w:hanging="415"/>
        <w:spacing w:after="0"/>
        <w:tabs>
          <w:tab w:leader="none" w:pos="1712" w:val="left"/>
        </w:tabs>
        <w:numPr>
          <w:ilvl w:val="3"/>
          <w:numId w:val="22"/>
        </w:numPr>
        <w:rPr>
          <w:rFonts w:ascii="Arial" w:cs="Arial" w:eastAsia="Arial" w:hAnsi="Arial"/>
          <w:sz w:val="22"/>
          <w:szCs w:val="22"/>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 Employee's employment shall terminate automatically in the event of Employee’s death.</w:t>
      </w:r>
    </w:p>
    <w:p>
      <w:pPr>
        <w:spacing w:after="0" w:line="233" w:lineRule="exact"/>
        <w:rPr>
          <w:rFonts w:ascii="Arial" w:cs="Arial" w:eastAsia="Arial" w:hAnsi="Arial"/>
          <w:sz w:val="22"/>
          <w:szCs w:val="22"/>
          <w:color w:val="auto"/>
        </w:rPr>
      </w:pPr>
    </w:p>
    <w:p>
      <w:pPr>
        <w:ind w:left="-8" w:right="120" w:firstLine="368"/>
        <w:spacing w:after="0" w:line="307" w:lineRule="auto"/>
        <w:tabs>
          <w:tab w:leader="none" w:pos="784" w:val="left"/>
        </w:tabs>
        <w:numPr>
          <w:ilvl w:val="1"/>
          <w:numId w:val="23"/>
        </w:numPr>
        <w:rPr>
          <w:rFonts w:ascii="Arial" w:cs="Arial" w:eastAsia="Arial" w:hAnsi="Arial"/>
          <w:sz w:val="19"/>
          <w:szCs w:val="19"/>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The Company may terminate Employee’s employment in accordance with the provisions of applicable law, in the event Employee becomes substantially unable to perform Employee’s duties hereunder due to partial or total disability or incapacity resulting from a mental or physical illness, injury or other health-related cause (“Disability”) for a period of twelve (12) consecutive months or for a cumulative period of fifty-two (52) weeks in any two (2) calendar year period.</w:t>
      </w:r>
    </w:p>
    <w:p>
      <w:pPr>
        <w:spacing w:after="0" w:line="138" w:lineRule="exact"/>
        <w:rPr>
          <w:rFonts w:ascii="Arial" w:cs="Arial" w:eastAsia="Arial" w:hAnsi="Arial"/>
          <w:sz w:val="19"/>
          <w:szCs w:val="19"/>
          <w:color w:val="auto"/>
        </w:rPr>
      </w:pPr>
    </w:p>
    <w:p>
      <w:pPr>
        <w:ind w:left="1712" w:hanging="415"/>
        <w:spacing w:after="0"/>
        <w:tabs>
          <w:tab w:leader="none" w:pos="1712" w:val="left"/>
        </w:tabs>
        <w:numPr>
          <w:ilvl w:val="3"/>
          <w:numId w:val="23"/>
        </w:numPr>
        <w:rPr>
          <w:rFonts w:ascii="Arial" w:cs="Arial" w:eastAsia="Arial" w:hAnsi="Arial"/>
          <w:sz w:val="22"/>
          <w:szCs w:val="22"/>
          <w:color w:val="auto"/>
        </w:rPr>
      </w:pPr>
      <w:r>
        <w:rPr>
          <w:rFonts w:ascii="Arial" w:cs="Arial" w:eastAsia="Arial" w:hAnsi="Arial"/>
          <w:sz w:val="22"/>
          <w:szCs w:val="22"/>
          <w:u w:val="single" w:color="auto"/>
          <w:color w:val="auto"/>
        </w:rPr>
        <w:t>Termination With Cause by the Company or Resignation Without Good Reason by Employee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8" w:right="60" w:firstLine="8"/>
        <w:spacing w:after="0" w:line="262" w:lineRule="auto"/>
        <w:tabs>
          <w:tab w:leader="none" w:pos="376" w:val="left"/>
        </w:tabs>
        <w:numPr>
          <w:ilvl w:val="0"/>
          <w:numId w:val="24"/>
        </w:numPr>
        <w:rPr>
          <w:rFonts w:ascii="Arial" w:cs="Arial" w:eastAsia="Arial" w:hAnsi="Arial"/>
          <w:sz w:val="21"/>
          <w:szCs w:val="21"/>
          <w:color w:val="auto"/>
        </w:rPr>
      </w:pPr>
      <w:r>
        <w:rPr>
          <w:rFonts w:ascii="Arial" w:cs="Arial" w:eastAsia="Arial" w:hAnsi="Arial"/>
          <w:sz w:val="21"/>
          <w:szCs w:val="21"/>
          <w:color w:val="auto"/>
        </w:rPr>
        <w:t>The Company may terminate Employee’s employment (a “Termination With Cause”) upon written notice following its determination that Employee has committed any of the following acts: conviction of a felony or a crime involving moral turpitude; fraud; embezzlement or other misappropriation of funds; material misrepresentation with respect to the Company; substantial and/or repeated failure to perform duties; gross negligence or willful misconduct in the performance of duties; material violation of the Employee Handbook, the Code of Conduct or any other written Company policy; or material breach of this Agreement (which, as to the last two items, if capable of being cured (as reasonably determined by the Company), shall remain uncured following ten (10) business days after written notice thereof).</w:t>
      </w:r>
    </w:p>
    <w:p>
      <w:pPr>
        <w:spacing w:after="0" w:line="180" w:lineRule="exact"/>
        <w:rPr>
          <w:rFonts w:ascii="Arial" w:cs="Arial" w:eastAsia="Arial" w:hAnsi="Arial"/>
          <w:sz w:val="21"/>
          <w:szCs w:val="21"/>
          <w:color w:val="auto"/>
        </w:rPr>
      </w:pPr>
    </w:p>
    <w:p>
      <w:pPr>
        <w:ind w:left="-8" w:right="60" w:firstLine="1305"/>
        <w:spacing w:after="0" w:line="260" w:lineRule="auto"/>
        <w:tabs>
          <w:tab w:leader="none" w:pos="1733" w:val="left"/>
        </w:tabs>
        <w:numPr>
          <w:ilvl w:val="3"/>
          <w:numId w:val="24"/>
        </w:numPr>
        <w:rPr>
          <w:rFonts w:ascii="Arial" w:cs="Arial" w:eastAsia="Arial" w:hAnsi="Arial"/>
          <w:sz w:val="22"/>
          <w:szCs w:val="22"/>
          <w:color w:val="auto"/>
        </w:rPr>
      </w:pPr>
      <w:r>
        <w:rPr>
          <w:rFonts w:ascii="Arial" w:cs="Arial" w:eastAsia="Arial" w:hAnsi="Arial"/>
          <w:sz w:val="22"/>
          <w:szCs w:val="22"/>
          <w:color w:val="auto"/>
        </w:rPr>
        <w:t>Employee may terminate Employee’s employment (a “Resignation Without Good Reason”) at any time for any reason (or for no reason) upon twenty (20) business days prior written notice without Good Reason (as such term is defined in subparagraph (d)(ii) below).</w:t>
      </w:r>
    </w:p>
    <w:p>
      <w:pPr>
        <w:sectPr>
          <w:pgSz w:w="11900" w:h="16838" w:orient="portrait"/>
          <w:cols w:equalWidth="0" w:num="1">
            <w:col w:w="11412"/>
          </w:cols>
          <w:pgMar w:left="248" w:top="807" w:right="239" w:bottom="1440" w:gutter="0" w:footer="0" w:header="0"/>
        </w:sectPr>
      </w:pPr>
    </w:p>
    <w:bookmarkStart w:id="71" w:name="page72"/>
    <w:bookmarkEnd w:id="71"/>
    <w:p>
      <w:pPr>
        <w:ind w:left="1732" w:hanging="435"/>
        <w:spacing w:after="0"/>
        <w:tabs>
          <w:tab w:leader="none" w:pos="1732" w:val="left"/>
        </w:tabs>
        <w:numPr>
          <w:ilvl w:val="3"/>
          <w:numId w:val="25"/>
        </w:numPr>
        <w:rPr>
          <w:rFonts w:ascii="Arial" w:cs="Arial" w:eastAsia="Arial" w:hAnsi="Arial"/>
          <w:sz w:val="22"/>
          <w:szCs w:val="22"/>
          <w:color w:val="auto"/>
        </w:rPr>
      </w:pPr>
      <w:r>
        <w:rPr>
          <w:rFonts w:ascii="Arial" w:cs="Arial" w:eastAsia="Arial" w:hAnsi="Arial"/>
          <w:sz w:val="22"/>
          <w:szCs w:val="22"/>
          <w:u w:val="single" w:color="auto"/>
          <w:color w:val="auto"/>
        </w:rPr>
        <w:t>Termination Without Cause by the Company or Resignation With Good Reason by Employee.</w:t>
      </w:r>
    </w:p>
    <w:p>
      <w:pPr>
        <w:spacing w:after="0" w:line="233" w:lineRule="exact"/>
        <w:rPr>
          <w:rFonts w:ascii="Arial" w:cs="Arial" w:eastAsia="Arial" w:hAnsi="Arial"/>
          <w:sz w:val="22"/>
          <w:szCs w:val="22"/>
          <w:color w:val="auto"/>
        </w:rPr>
      </w:pPr>
    </w:p>
    <w:p>
      <w:pPr>
        <w:ind w:left="-8" w:right="160" w:firstLine="8"/>
        <w:spacing w:after="0" w:line="276" w:lineRule="auto"/>
        <w:tabs>
          <w:tab w:leader="none" w:pos="376"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Company may terminate Employee’s employment (a “Termination Without Cause”) at any time for any reason (or for no reason) upon twenty (20) business days prior written notice.</w:t>
      </w:r>
    </w:p>
    <w:p>
      <w:pPr>
        <w:spacing w:after="0" w:line="160" w:lineRule="exact"/>
        <w:rPr>
          <w:rFonts w:ascii="Arial" w:cs="Arial" w:eastAsia="Arial" w:hAnsi="Arial"/>
          <w:sz w:val="22"/>
          <w:szCs w:val="22"/>
          <w:color w:val="auto"/>
        </w:rPr>
      </w:pPr>
    </w:p>
    <w:p>
      <w:pPr>
        <w:ind w:left="-8" w:right="140" w:firstLine="1088"/>
        <w:spacing w:after="0" w:line="300" w:lineRule="auto"/>
        <w:tabs>
          <w:tab w:leader="none" w:pos="1516" w:val="left"/>
        </w:tabs>
        <w:numPr>
          <w:ilvl w:val="2"/>
          <w:numId w:val="26"/>
        </w:numPr>
        <w:rPr>
          <w:rFonts w:ascii="Arial" w:cs="Arial" w:eastAsia="Arial" w:hAnsi="Arial"/>
          <w:sz w:val="19"/>
          <w:szCs w:val="19"/>
          <w:color w:val="auto"/>
        </w:rPr>
      </w:pPr>
      <w:r>
        <w:rPr>
          <w:rFonts w:ascii="Arial" w:cs="Arial" w:eastAsia="Arial" w:hAnsi="Arial"/>
          <w:sz w:val="19"/>
          <w:szCs w:val="19"/>
          <w:color w:val="auto"/>
        </w:rPr>
        <w:t>Employee may terminate Employee’s employment (a “Resignation With Good Reason”) as a result of any of the following acts of the Company upon ten (10) business days prior written notice, provided Employee has provided the Company such written notice within sixty (60) days of the occurrence thereof: a substantial demotion in Employee’s position; or material breach of this Agreement (which, as to either such item, if capable of being cured (as reasonably determined by the Company), shall remain uncured following ten (10) business days after written notice thereof) (“Good Reason”).</w:t>
      </w:r>
    </w:p>
    <w:p>
      <w:pPr>
        <w:spacing w:after="0" w:line="147" w:lineRule="exact"/>
        <w:rPr>
          <w:rFonts w:ascii="Arial" w:cs="Arial" w:eastAsia="Arial" w:hAnsi="Arial"/>
          <w:sz w:val="19"/>
          <w:szCs w:val="19"/>
          <w:color w:val="auto"/>
        </w:rPr>
      </w:pPr>
    </w:p>
    <w:p>
      <w:pPr>
        <w:ind w:left="-8" w:right="120" w:firstLine="656"/>
        <w:spacing w:after="0" w:line="276" w:lineRule="auto"/>
        <w:tabs>
          <w:tab w:leader="none" w:pos="982" w:val="left"/>
        </w:tabs>
        <w:numPr>
          <w:ilvl w:val="1"/>
          <w:numId w:val="26"/>
        </w:numPr>
        <w:rPr>
          <w:rFonts w:ascii="Arial" w:cs="Arial" w:eastAsia="Arial" w:hAnsi="Arial"/>
          <w:sz w:val="22"/>
          <w:szCs w:val="22"/>
          <w:color w:val="auto"/>
        </w:rPr>
      </w:pPr>
      <w:r>
        <w:rPr>
          <w:rFonts w:ascii="Arial" w:cs="Arial" w:eastAsia="Arial" w:hAnsi="Arial"/>
          <w:sz w:val="22"/>
          <w:szCs w:val="22"/>
          <w:u w:val="single" w:color="auto"/>
          <w:color w:val="auto"/>
        </w:rPr>
        <w:t>Payments and Other Entitlements As a Result of Termination</w:t>
      </w:r>
      <w:r>
        <w:rPr>
          <w:rFonts w:ascii="Arial" w:cs="Arial" w:eastAsia="Arial" w:hAnsi="Arial"/>
          <w:sz w:val="22"/>
          <w:szCs w:val="22"/>
          <w:color w:val="auto"/>
        </w:rPr>
        <w:t>. Employee’s sole entitlements as a result of a termination under Paragraph 6 shall be as set forth below.</w:t>
      </w:r>
    </w:p>
    <w:p>
      <w:pPr>
        <w:spacing w:after="0" w:line="161" w:lineRule="exact"/>
        <w:rPr>
          <w:sz w:val="20"/>
          <w:szCs w:val="20"/>
          <w:color w:val="auto"/>
        </w:rPr>
      </w:pPr>
    </w:p>
    <w:p>
      <w:pPr>
        <w:ind w:left="-8" w:firstLine="8"/>
        <w:spacing w:after="0" w:line="290" w:lineRule="auto"/>
        <w:tabs>
          <w:tab w:leader="none" w:pos="412"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Death or Disability</w:t>
      </w:r>
      <w:r>
        <w:rPr>
          <w:rFonts w:ascii="Arial" w:cs="Arial" w:eastAsia="Arial" w:hAnsi="Arial"/>
          <w:sz w:val="19"/>
          <w:szCs w:val="19"/>
          <w:color w:val="auto"/>
        </w:rPr>
        <w:t>. Following termination due to death or Disability, Employee’s estate (or Employee, as applicable) shall be entitled to payment of Employee’s then-current Base Salary through the date of termination and for a period of three (3) months thereafter (payable in accordance with the Company’s regular payroll practices), amounts accrued or payable under any Benefit Plans (payable at such times as provided therein), any accrued but unused vacation time, any amounts payable for any unreimbursed business expenses, any amount that otherwise would have been payable in the current year on account of a prior year’s Cash Bonus Plan grant, an amount on account of the current year’s Cash Bonus Plan grant (pro-rated through the date of termination, and calculated using actual achievement of Company-based performance goals and assuming full achievement of Employee’s personal performance goals) (in the case of each of the last two amounts, payable at such time as otherwise applicable absent such death or Disability), and any vested rights or benefits under any applicable provisions of any other compensation or benefit program or plan or grants thereunder. Except as otherwise provided herein, any amounts payable to Employee’s estate (or Employee, as applicable) pursuant to this subparagraph (a) shall be paid no later than the 45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following the date of termination.</w:t>
      </w:r>
    </w:p>
    <w:p>
      <w:pPr>
        <w:spacing w:after="0" w:line="64" w:lineRule="exact"/>
        <w:rPr>
          <w:rFonts w:ascii="Arial" w:cs="Arial" w:eastAsia="Arial" w:hAnsi="Arial"/>
          <w:sz w:val="19"/>
          <w:szCs w:val="19"/>
          <w:color w:val="auto"/>
        </w:rPr>
      </w:pPr>
    </w:p>
    <w:p>
      <w:pPr>
        <w:ind w:left="-8" w:firstLine="8"/>
        <w:spacing w:after="0" w:line="277" w:lineRule="auto"/>
        <w:tabs>
          <w:tab w:leader="none" w:pos="424"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Termination With Cause by the Company or Resignation Without Good Reason by Employee</w:t>
      </w:r>
      <w:r>
        <w:rPr>
          <w:rFonts w:ascii="Arial" w:cs="Arial" w:eastAsia="Arial" w:hAnsi="Arial"/>
          <w:sz w:val="20"/>
          <w:szCs w:val="20"/>
          <w:color w:val="auto"/>
        </w:rPr>
        <w:t>. If Employee’s employment terminates as a result of a Termination With Cause or Resignation Without Good Reason, Employee shall be entitled to payment of Employee’s then-current Base Salary through the date of termination (payable in accordance with the Company’s regular payroll practices), amounts accrued or payable under any Benefit Plans (payable at such times as provided therein), any accrued but unused vacation time, any amounts payable for any unreimbursed business expenses, and any amount that otherwise would have been payable in the current year on account of a prior year’s Cash Bonus Plan grant (payable at such time as otherwise applicable absent such termination). Except as otherwise provided herein, any amounts payable to Employee pursuant to this subparagraph (b) shall be paid no later than the 45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following the date of termination.</w:t>
      </w:r>
    </w:p>
    <w:p>
      <w:pPr>
        <w:sectPr>
          <w:pgSz w:w="11900" w:h="16838" w:orient="portrait"/>
          <w:cols w:equalWidth="0" w:num="1">
            <w:col w:w="11392"/>
          </w:cols>
          <w:pgMar w:left="248" w:top="1023" w:right="259" w:bottom="1440" w:gutter="0" w:footer="0" w:header="0"/>
        </w:sectPr>
      </w:pPr>
    </w:p>
    <w:bookmarkStart w:id="72" w:name="page73"/>
    <w:bookmarkEnd w:id="72"/>
    <w:p>
      <w:pPr>
        <w:ind w:left="-8" w:right="140" w:firstLine="1305"/>
        <w:spacing w:after="0" w:line="294" w:lineRule="auto"/>
        <w:tabs>
          <w:tab w:leader="none" w:pos="1708" w:val="left"/>
        </w:tabs>
        <w:numPr>
          <w:ilvl w:val="2"/>
          <w:numId w:val="28"/>
        </w:numPr>
        <w:rPr>
          <w:rFonts w:ascii="Arial" w:cs="Arial" w:eastAsia="Arial" w:hAnsi="Arial"/>
          <w:sz w:val="19"/>
          <w:szCs w:val="19"/>
          <w:color w:val="auto"/>
        </w:rPr>
      </w:pPr>
      <w:r>
        <w:rPr>
          <w:rFonts w:ascii="Arial" w:cs="Arial" w:eastAsia="Arial" w:hAnsi="Arial"/>
          <w:sz w:val="19"/>
          <w:szCs w:val="19"/>
          <w:u w:val="single" w:color="auto"/>
          <w:color w:val="auto"/>
        </w:rPr>
        <w:t>Termination Without Cause by the Company or Resignation With Good Reason by Employee</w:t>
      </w:r>
      <w:r>
        <w:rPr>
          <w:rFonts w:ascii="Arial" w:cs="Arial" w:eastAsia="Arial" w:hAnsi="Arial"/>
          <w:sz w:val="19"/>
          <w:szCs w:val="19"/>
          <w:color w:val="auto"/>
        </w:rPr>
        <w:t>. If Employee’s employment is terminated as a result of a Termination Without Cause or Resignation With Good Reason, and subject to Paragraph 13 and to Employee’s entering into an agreement containing a release by Employee of the Company with respect to all matters relating to Employee’s employment and the termination thereof (other than rights under this Agreement which by their express terms continue following termination of employment and any vested rights under any compensation or benefit plan or program or grants thereunder) within thirty (30) days following the date of termination, in a form and containing terms as the Company customarily requires of terminated employees receiving salary continuation payments:</w:t>
      </w:r>
    </w:p>
    <w:p>
      <w:pPr>
        <w:spacing w:after="0" w:line="152" w:lineRule="exact"/>
        <w:rPr>
          <w:rFonts w:ascii="Arial" w:cs="Arial" w:eastAsia="Arial" w:hAnsi="Arial"/>
          <w:sz w:val="19"/>
          <w:szCs w:val="19"/>
          <w:color w:val="auto"/>
        </w:rPr>
      </w:pPr>
    </w:p>
    <w:p>
      <w:pPr>
        <w:ind w:left="2332" w:hanging="387"/>
        <w:spacing w:after="0"/>
        <w:tabs>
          <w:tab w:leader="none" w:pos="2332" w:val="left"/>
        </w:tabs>
        <w:numPr>
          <w:ilvl w:val="3"/>
          <w:numId w:val="28"/>
        </w:numPr>
        <w:rPr>
          <w:rFonts w:ascii="Arial" w:cs="Arial" w:eastAsia="Arial" w:hAnsi="Arial"/>
          <w:sz w:val="19"/>
          <w:szCs w:val="19"/>
          <w:color w:val="auto"/>
        </w:rPr>
      </w:pPr>
      <w:r>
        <w:rPr>
          <w:rFonts w:ascii="Arial" w:cs="Arial" w:eastAsia="Arial" w:hAnsi="Arial"/>
          <w:sz w:val="19"/>
          <w:szCs w:val="19"/>
          <w:color w:val="auto"/>
        </w:rPr>
        <w:t>Provided Employee is alive at the time of payment thereof, Employee shall be entitled to continue to:</w:t>
      </w:r>
    </w:p>
    <w:p>
      <w:pPr>
        <w:spacing w:after="0" w:line="56" w:lineRule="exact"/>
        <w:rPr>
          <w:rFonts w:ascii="Arial" w:cs="Arial" w:eastAsia="Arial" w:hAnsi="Arial"/>
          <w:sz w:val="19"/>
          <w:szCs w:val="19"/>
          <w:color w:val="auto"/>
        </w:rPr>
      </w:pPr>
    </w:p>
    <w:p>
      <w:pPr>
        <w:ind w:left="-8" w:firstLine="8"/>
        <w:spacing w:after="0" w:line="259" w:lineRule="auto"/>
        <w:tabs>
          <w:tab w:leader="none" w:pos="346" w:val="left"/>
        </w:tabs>
        <w:numPr>
          <w:ilvl w:val="0"/>
          <w:numId w:val="29"/>
        </w:numPr>
        <w:rPr>
          <w:rFonts w:ascii="Arial" w:cs="Arial" w:eastAsia="Arial" w:hAnsi="Arial"/>
          <w:sz w:val="21"/>
          <w:szCs w:val="21"/>
          <w:color w:val="auto"/>
        </w:rPr>
      </w:pPr>
      <w:r>
        <w:rPr>
          <w:rFonts w:ascii="Arial" w:cs="Arial" w:eastAsia="Arial" w:hAnsi="Arial"/>
          <w:sz w:val="21"/>
          <w:szCs w:val="21"/>
          <w:color w:val="auto"/>
        </w:rPr>
        <w:t>receive Employee’s then-current Base Salary in accordance with the Company’s regular payroll practices; and (B) participate in the Benefit Plans at the same cost to Employee as is applicable to active employees; in each case for the period of time set forth on Schedule 1 following the date of termination. Employee’s rights under the Consolidated Omnibus Budget Reconciliation Act of 1986, as amended (“COBRA”) shall run concurrently with Employee’s participation during such period of time. The payments and benefits described in this subparagraph (i) will begin to be paid or provided as soon as administratively practicable after the release described in subparagraph (c) above becomes irrevocable, provided that if the 30-day period described in such subparagraph begins in one taxable year and ends in the following taxable year, such payments or benefits shall not commence until the following taxable year.</w:t>
      </w:r>
    </w:p>
    <w:p>
      <w:pPr>
        <w:spacing w:after="0" w:line="179" w:lineRule="exact"/>
        <w:rPr>
          <w:rFonts w:ascii="Arial" w:cs="Arial" w:eastAsia="Arial" w:hAnsi="Arial"/>
          <w:sz w:val="21"/>
          <w:szCs w:val="21"/>
          <w:color w:val="auto"/>
        </w:rPr>
      </w:pPr>
    </w:p>
    <w:p>
      <w:pPr>
        <w:ind w:left="-8" w:firstLine="548"/>
        <w:spacing w:after="0" w:line="277" w:lineRule="auto"/>
        <w:tabs>
          <w:tab w:leader="none" w:pos="976" w:val="left"/>
        </w:tabs>
        <w:numPr>
          <w:ilvl w:val="1"/>
          <w:numId w:val="29"/>
        </w:numPr>
        <w:rPr>
          <w:rFonts w:ascii="Arial" w:cs="Arial" w:eastAsia="Arial" w:hAnsi="Arial"/>
          <w:sz w:val="20"/>
          <w:szCs w:val="20"/>
          <w:color w:val="auto"/>
        </w:rPr>
      </w:pPr>
      <w:r>
        <w:rPr>
          <w:rFonts w:ascii="Arial" w:cs="Arial" w:eastAsia="Arial" w:hAnsi="Arial"/>
          <w:sz w:val="20"/>
          <w:szCs w:val="20"/>
          <w:color w:val="auto"/>
        </w:rPr>
        <w:t>Employee shall also receive payment of Employee’s then-current Base Salary through the date of termination (payable in accordance with the Company’s regular payroll practices); amounts accrued or payable under any Benefit Plans (payable at such times as provided therein); any accrued but unused vacation time; any amounts payable for any unreimbursed business expenses; any amount that otherwise would have been payable in the current year on account of a prior year’s Cash Bonus Plan grant; and an amount on account of the current year’s Cash Bonus Plan grant (pro-rated through the month containing the date of termination, and calculated using actual achievement of Company-based performance goals and assuming full achievement of Employee’s personal performance goals). Except as otherwise provided herein, any amounts payable to Employee pursuant to this subparagraph (ii) shall be paid no later than the 45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following the date of termination.</w:t>
      </w:r>
    </w:p>
    <w:p>
      <w:pPr>
        <w:spacing w:after="0" w:line="79" w:lineRule="exact"/>
        <w:rPr>
          <w:rFonts w:ascii="Arial" w:cs="Arial" w:eastAsia="Arial" w:hAnsi="Arial"/>
          <w:sz w:val="20"/>
          <w:szCs w:val="20"/>
          <w:color w:val="auto"/>
        </w:rPr>
      </w:pPr>
    </w:p>
    <w:p>
      <w:pPr>
        <w:ind w:left="-8" w:right="60" w:firstLine="1953"/>
        <w:spacing w:after="0" w:line="294" w:lineRule="auto"/>
        <w:tabs>
          <w:tab w:leader="none" w:pos="2495" w:val="left"/>
        </w:tabs>
        <w:numPr>
          <w:ilvl w:val="3"/>
          <w:numId w:val="29"/>
        </w:numPr>
        <w:rPr>
          <w:rFonts w:ascii="Arial" w:cs="Arial" w:eastAsia="Arial" w:hAnsi="Arial"/>
          <w:sz w:val="19"/>
          <w:szCs w:val="19"/>
          <w:color w:val="auto"/>
        </w:rPr>
      </w:pPr>
      <w:r>
        <w:rPr>
          <w:rFonts w:ascii="Arial" w:cs="Arial" w:eastAsia="Arial" w:hAnsi="Arial"/>
          <w:sz w:val="19"/>
          <w:szCs w:val="19"/>
          <w:color w:val="auto"/>
        </w:rPr>
        <w:t>Employee shall be obligated to seek reasonable other employment during the period in which Employee receives salary continuation payments under subparagraph (i) above, and the Company may request reasonable periodic written reports evidencing Employee’s efforts to obtain such employment. Such salary continuation payments shall be subject to reduction in the amount of any salary, bonus, vested equity or other compensation earned or received by Employee for services through employment or self-employment during or on account of the period of time of salary continuation. Employee shall provide the Company with prompt written notice of any such employment and amounts. The Company’s obligation to continue health and welfare benefits shall cease upon Employee’s eligibility for health and welfare benefits from any subsequent employer.</w:t>
      </w:r>
    </w:p>
    <w:p>
      <w:pPr>
        <w:spacing w:after="0" w:line="152" w:lineRule="exact"/>
        <w:rPr>
          <w:rFonts w:ascii="Arial" w:cs="Arial" w:eastAsia="Arial" w:hAnsi="Arial"/>
          <w:sz w:val="19"/>
          <w:szCs w:val="19"/>
          <w:color w:val="auto"/>
        </w:rPr>
      </w:pPr>
    </w:p>
    <w:p>
      <w:pPr>
        <w:ind w:left="-8" w:right="200" w:firstLine="1953"/>
        <w:spacing w:after="0" w:line="263" w:lineRule="auto"/>
        <w:tabs>
          <w:tab w:leader="none" w:pos="2429" w:val="left"/>
        </w:tabs>
        <w:numPr>
          <w:ilvl w:val="3"/>
          <w:numId w:val="29"/>
        </w:numPr>
        <w:rPr>
          <w:rFonts w:ascii="Arial" w:cs="Arial" w:eastAsia="Arial" w:hAnsi="Arial"/>
          <w:sz w:val="20"/>
          <w:szCs w:val="20"/>
          <w:color w:val="auto"/>
        </w:rPr>
      </w:pPr>
      <w:r>
        <w:rPr>
          <w:rFonts w:ascii="Arial" w:cs="Arial" w:eastAsia="Arial" w:hAnsi="Arial"/>
          <w:sz w:val="20"/>
          <w:szCs w:val="20"/>
          <w:color w:val="auto"/>
        </w:rPr>
        <w:t>Provided Employee is alive at the time of payment, Employee shall be entitled to receive payment on account of: (A) the current year’s Cash Bonus Plan grant, pro-rated beginning from the month following the date of termination through December 31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of the year of termination; and (B) the following year’s Cash Bonus Plan grant, pro-rated based on the number of months of employment in the year of termination (including the month of termination); in each case calculated using actual achievement of Company-based performance goals and assuming full achievement</w:t>
      </w:r>
    </w:p>
    <w:p>
      <w:pPr>
        <w:sectPr>
          <w:pgSz w:w="11900" w:h="16838" w:orient="portrait"/>
          <w:cols w:equalWidth="0" w:num="1">
            <w:col w:w="11392"/>
          </w:cols>
          <w:pgMar w:left="248" w:top="807" w:right="259" w:bottom="1440" w:gutter="0" w:footer="0" w:header="0"/>
        </w:sectPr>
      </w:pPr>
    </w:p>
    <w:bookmarkStart w:id="73" w:name="page74"/>
    <w:bookmarkEnd w:id="73"/>
    <w:p>
      <w:pPr>
        <w:spacing w:after="0"/>
        <w:rPr>
          <w:sz w:val="20"/>
          <w:szCs w:val="20"/>
          <w:color w:val="auto"/>
        </w:rPr>
      </w:pPr>
      <w:r>
        <w:rPr>
          <w:rFonts w:ascii="Arial" w:cs="Arial" w:eastAsia="Arial" w:hAnsi="Arial"/>
          <w:sz w:val="22"/>
          <w:szCs w:val="22"/>
          <w:color w:val="auto"/>
        </w:rPr>
        <w:t>of Employee’s personal performance goals (payable at such times as otherwise applicable absent such termination).</w:t>
      </w:r>
    </w:p>
    <w:p>
      <w:pPr>
        <w:spacing w:after="0" w:line="220" w:lineRule="exact"/>
        <w:rPr>
          <w:sz w:val="20"/>
          <w:szCs w:val="20"/>
          <w:color w:val="auto"/>
        </w:rPr>
      </w:pPr>
    </w:p>
    <w:p>
      <w:pPr>
        <w:ind w:firstLine="1953"/>
        <w:spacing w:after="0" w:line="254" w:lineRule="auto"/>
        <w:tabs>
          <w:tab w:leader="none" w:pos="2377" w:val="left"/>
        </w:tabs>
        <w:numPr>
          <w:ilvl w:val="4"/>
          <w:numId w:val="30"/>
        </w:numPr>
        <w:rPr>
          <w:rFonts w:ascii="Arial" w:cs="Arial" w:eastAsia="Arial" w:hAnsi="Arial"/>
          <w:sz w:val="22"/>
          <w:szCs w:val="22"/>
          <w:color w:val="auto"/>
        </w:rPr>
      </w:pPr>
      <w:r>
        <w:rPr>
          <w:rFonts w:ascii="Arial" w:cs="Arial" w:eastAsia="Arial" w:hAnsi="Arial"/>
          <w:sz w:val="22"/>
          <w:szCs w:val="22"/>
          <w:color w:val="auto"/>
        </w:rPr>
        <w:t>Provided Employee is alive at the time of vesting, Employee shall have the right to continued vesting of Stock Option Plan and Restricted Stock Plan grants through the period of time set forth on Schedule 1, as if there had been no termination of employment. Provided Employee is alive at the time of exercise, Employee shall have the right to exercise any vested Stock Option Plan grants through the period of time set forth on Schedule 1.</w:t>
      </w:r>
    </w:p>
    <w:p>
      <w:pPr>
        <w:spacing w:after="0" w:line="185" w:lineRule="exact"/>
        <w:rPr>
          <w:rFonts w:ascii="Arial" w:cs="Arial" w:eastAsia="Arial" w:hAnsi="Arial"/>
          <w:sz w:val="22"/>
          <w:szCs w:val="22"/>
          <w:color w:val="auto"/>
        </w:rPr>
      </w:pPr>
    </w:p>
    <w:p>
      <w:pPr>
        <w:ind w:right="120" w:firstLine="188"/>
        <w:spacing w:after="0" w:line="250" w:lineRule="auto"/>
        <w:tabs>
          <w:tab w:leader="none" w:pos="396"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Non-Solicitation; Non-Competition; Confidentiality</w:t>
      </w:r>
      <w:r>
        <w:rPr>
          <w:rFonts w:ascii="Arial" w:cs="Arial" w:eastAsia="Arial" w:hAnsi="Arial"/>
          <w:sz w:val="22"/>
          <w:szCs w:val="22"/>
          <w:color w:val="auto"/>
        </w:rPr>
        <w:t>. Employee acknowledges and agrees that: Employee’s skills, experience, knowledge and reputation are of special, unique and extraordinary value to the Company; Employee is and will continue to be privy to confidential and proprietary information, processes and know-how of the Company, the confidentiality of which has significant value to the Company and its future success; and the restrictions on Employee’s activities as set forth below are necessary to protect the value of the goodwill and other tangible and intangible assets of the Company. Based upon the foregoing, Employee agrees as follows:</w:t>
      </w:r>
    </w:p>
    <w:p>
      <w:pPr>
        <w:spacing w:after="0" w:line="188" w:lineRule="exact"/>
        <w:rPr>
          <w:rFonts w:ascii="Arial" w:cs="Arial" w:eastAsia="Arial" w:hAnsi="Arial"/>
          <w:sz w:val="22"/>
          <w:szCs w:val="22"/>
          <w:color w:val="auto"/>
        </w:rPr>
      </w:pPr>
    </w:p>
    <w:p>
      <w:pPr>
        <w:ind w:right="140" w:firstLine="1305"/>
        <w:spacing w:after="0" w:line="297" w:lineRule="auto"/>
        <w:tabs>
          <w:tab w:leader="none" w:pos="1716" w:val="left"/>
        </w:tabs>
        <w:numPr>
          <w:ilvl w:val="3"/>
          <w:numId w:val="31"/>
        </w:numPr>
        <w:rPr>
          <w:rFonts w:ascii="Arial" w:cs="Arial" w:eastAsia="Arial" w:hAnsi="Arial"/>
          <w:sz w:val="19"/>
          <w:szCs w:val="19"/>
          <w:color w:val="auto"/>
        </w:rPr>
      </w:pPr>
      <w:r>
        <w:rPr>
          <w:rFonts w:ascii="Arial" w:cs="Arial" w:eastAsia="Arial" w:hAnsi="Arial"/>
          <w:sz w:val="19"/>
          <w:szCs w:val="19"/>
          <w:color w:val="auto"/>
        </w:rPr>
        <w:t>While employed by the Company (whether during the Term or thereafter), and for a period of one year after termination of Employee’s employment for any reason (whether during the Term or thereafter), Employee shall not, directly or indirectly: (i) hire any employee of the Company (other than as a result of a general solicitation); (ii) solicit, induce, encourage or attempt to influence any employee, customer, consultant, independent contractor, service provider or supplier of the Company to cease to do business or terminate the employment or other relationship with the Company; or (iii) assist any other person or entity in doing or performing any of the acts that Employee is prohibited from doing under subparagraphs (i) or (ii) above.</w:t>
      </w:r>
    </w:p>
    <w:p>
      <w:pPr>
        <w:spacing w:after="0" w:line="146" w:lineRule="exact"/>
        <w:rPr>
          <w:rFonts w:ascii="Arial" w:cs="Arial" w:eastAsia="Arial" w:hAnsi="Arial"/>
          <w:sz w:val="19"/>
          <w:szCs w:val="19"/>
          <w:color w:val="auto"/>
        </w:rPr>
      </w:pPr>
    </w:p>
    <w:p>
      <w:pPr>
        <w:ind w:right="40" w:firstLine="1305"/>
        <w:spacing w:after="0" w:line="259" w:lineRule="auto"/>
        <w:tabs>
          <w:tab w:leader="none" w:pos="1728" w:val="left"/>
        </w:tabs>
        <w:numPr>
          <w:ilvl w:val="3"/>
          <w:numId w:val="31"/>
        </w:numPr>
        <w:rPr>
          <w:rFonts w:ascii="Arial" w:cs="Arial" w:eastAsia="Arial" w:hAnsi="Arial"/>
          <w:sz w:val="21"/>
          <w:szCs w:val="21"/>
          <w:color w:val="auto"/>
        </w:rPr>
      </w:pPr>
      <w:r>
        <w:rPr>
          <w:rFonts w:ascii="Arial" w:cs="Arial" w:eastAsia="Arial" w:hAnsi="Arial"/>
          <w:sz w:val="21"/>
          <w:szCs w:val="21"/>
          <w:color w:val="auto"/>
        </w:rPr>
        <w:t>(i) WHILE EMPLOYED BY THE COMPANY (WHETHER DURING THE TERM OR THEREAFTER); AND FOR A PERIOD OF ONE YEAR AFTER A RESIGNATION WITHOUT GOOD REASON OR A TERMINATION WITH CAUSE, IN EITHER CASE OCCURRING PRIOR TO THE REGULAR END DATE, EMPLOYEE SHALL NOT, DIRECTLY OR INDIRECTLY, ENGAGE IN ANY ACTIVITIES ON BEHALF OF, OR BE FINANCIALLY INTERESTED IN, A COMPETITIVE BUSINESS (AS AN AGENT, CONSULTANT, DIRECTOR, EMPLOYEE, INDEPENDENT CONTRACTOR, OFFICER, OWNER, PARTNER, MEMBER, PRINCIPAL, SERVICE PROVIDER OR OTHERWISE). A COMPETITIVE BUSINESS MEANS A BUSINESS (WHETHER CONDUCTED BY AN INDIVIDUAL OR ENTITY, INCLUDING EMPLOYEE IN SELF-EMPLOYMENT) THAT IS ENGAGED IN COMPETITION, DIRECTLY OR INDIRECTLY THROUGH ANY ENTITY CONTROLLING, CONTROLLED BY OR UNDER COMMON CONTROL WITH SUCH BUSINESS, WITH ANY OF THE BUSINESS ACTIVITIES (A) CARRIED ON BY THE COMPANY, OR (B) BEING PLANNED BY THE COMPANY WITH EMPLOYEE’S PARTICIPATION.</w:t>
      </w:r>
    </w:p>
    <w:p>
      <w:pPr>
        <w:spacing w:after="0" w:line="185" w:lineRule="exact"/>
        <w:rPr>
          <w:rFonts w:ascii="Arial" w:cs="Arial" w:eastAsia="Arial" w:hAnsi="Arial"/>
          <w:sz w:val="21"/>
          <w:szCs w:val="21"/>
          <w:color w:val="auto"/>
        </w:rPr>
      </w:pPr>
    </w:p>
    <w:p>
      <w:pPr>
        <w:ind w:right="140" w:firstLine="602"/>
        <w:spacing w:after="0" w:line="254" w:lineRule="auto"/>
        <w:tabs>
          <w:tab w:leader="none" w:pos="1038" w:val="left"/>
        </w:tabs>
        <w:numPr>
          <w:ilvl w:val="1"/>
          <w:numId w:val="31"/>
        </w:numPr>
        <w:rPr>
          <w:rFonts w:ascii="Arial" w:cs="Arial" w:eastAsia="Arial" w:hAnsi="Arial"/>
          <w:sz w:val="22"/>
          <w:szCs w:val="22"/>
          <w:color w:val="auto"/>
        </w:rPr>
      </w:pPr>
      <w:r>
        <w:rPr>
          <w:rFonts w:ascii="Arial" w:cs="Arial" w:eastAsia="Arial" w:hAnsi="Arial"/>
          <w:sz w:val="22"/>
          <w:szCs w:val="22"/>
          <w:color w:val="auto"/>
        </w:rPr>
        <w:t>THIS RESTRICTION SHALL APPLY IN ANY GEOGRAPHIC AREA IN THE WORLD IN WHICH THE COMPANY CARRIES OUT BUSINESS ACTIVITIES. EMPLOYEE AGREES THAT NOT SPECIFYING A MORE LIMITED GEOGRAPHIC AREA IS REASONABLE IN LIGHT OF THE BROAD GEOGRAPHIC SCOPE OF THE ACTIVITIES CARRIED OUT BY THE COMPANY IN THE WORLD.</w:t>
      </w:r>
    </w:p>
    <w:p>
      <w:pPr>
        <w:spacing w:after="0" w:line="185" w:lineRule="exact"/>
        <w:rPr>
          <w:rFonts w:ascii="Arial" w:cs="Arial" w:eastAsia="Arial" w:hAnsi="Arial"/>
          <w:sz w:val="22"/>
          <w:szCs w:val="22"/>
          <w:color w:val="auto"/>
        </w:rPr>
      </w:pPr>
    </w:p>
    <w:p>
      <w:pPr>
        <w:jc w:val="both"/>
        <w:ind w:right="60" w:firstLine="1016"/>
        <w:spacing w:after="0" w:line="320" w:lineRule="auto"/>
        <w:tabs>
          <w:tab w:leader="none" w:pos="1512" w:val="left"/>
        </w:tabs>
        <w:numPr>
          <w:ilvl w:val="2"/>
          <w:numId w:val="31"/>
        </w:numPr>
        <w:rPr>
          <w:rFonts w:ascii="Arial" w:cs="Arial" w:eastAsia="Arial" w:hAnsi="Arial"/>
          <w:sz w:val="19"/>
          <w:szCs w:val="19"/>
          <w:color w:val="auto"/>
        </w:rPr>
      </w:pPr>
      <w:r>
        <w:rPr>
          <w:rFonts w:ascii="Arial" w:cs="Arial" w:eastAsia="Arial" w:hAnsi="Arial"/>
          <w:sz w:val="19"/>
          <w:szCs w:val="19"/>
          <w:color w:val="auto"/>
        </w:rPr>
        <w:t>For purposes of clarification of their intent, the parties agree that subparagraph (i) above restricts Employee from working on the account, or otherwise for the benefit, of a Competitive Business as a result of Employee’s working as an employee, consultant or in any other capacity for an entity that provides consulting, advisory, lobbying or similar services to other businesses.</w:t>
      </w:r>
    </w:p>
    <w:p>
      <w:pPr>
        <w:sectPr>
          <w:pgSz w:w="11900" w:h="16838" w:orient="portrait"/>
          <w:cols w:equalWidth="0" w:num="1">
            <w:col w:w="11380"/>
          </w:cols>
          <w:pgMar w:left="240" w:top="807" w:right="279" w:bottom="1440" w:gutter="0" w:footer="0" w:header="0"/>
        </w:sectPr>
      </w:pPr>
    </w:p>
    <w:bookmarkStart w:id="74" w:name="page75"/>
    <w:bookmarkEnd w:id="74"/>
    <w:p>
      <w:pPr>
        <w:jc w:val="both"/>
        <w:ind w:left="-242" w:right="280" w:firstLine="1305"/>
        <w:spacing w:after="0" w:line="260" w:lineRule="auto"/>
        <w:tabs>
          <w:tab w:leader="none" w:pos="1546" w:val="left"/>
        </w:tabs>
        <w:numPr>
          <w:ilvl w:val="1"/>
          <w:numId w:val="32"/>
        </w:numPr>
        <w:rPr>
          <w:rFonts w:ascii="Arial" w:cs="Arial" w:eastAsia="Arial" w:hAnsi="Arial"/>
          <w:sz w:val="22"/>
          <w:szCs w:val="22"/>
          <w:color w:val="auto"/>
        </w:rPr>
      </w:pPr>
      <w:r>
        <w:rPr>
          <w:rFonts w:ascii="Arial" w:cs="Arial" w:eastAsia="Arial" w:hAnsi="Arial"/>
          <w:sz w:val="22"/>
          <w:szCs w:val="22"/>
          <w:color w:val="auto"/>
        </w:rPr>
        <w:t>Nothing herein shall prevent Employee from owning for investment up to one percent (1%) of any class of equity security of an entity whose securities are traded on a national securities exchange or market. Further, nothing herein shall prevent Employee from engaging in the practice of law.</w:t>
      </w:r>
    </w:p>
    <w:p>
      <w:pPr>
        <w:spacing w:after="0" w:line="177" w:lineRule="exact"/>
        <w:rPr>
          <w:rFonts w:ascii="Arial" w:cs="Arial" w:eastAsia="Arial" w:hAnsi="Arial"/>
          <w:sz w:val="22"/>
          <w:szCs w:val="22"/>
          <w:color w:val="auto"/>
        </w:rPr>
      </w:pPr>
    </w:p>
    <w:p>
      <w:pPr>
        <w:ind w:left="-242" w:firstLine="242"/>
        <w:spacing w:after="0" w:line="262" w:lineRule="auto"/>
        <w:tabs>
          <w:tab w:leader="none" w:pos="412" w:val="left"/>
        </w:tabs>
        <w:numPr>
          <w:ilvl w:val="0"/>
          <w:numId w:val="33"/>
        </w:numPr>
        <w:rPr>
          <w:rFonts w:ascii="Arial" w:cs="Arial" w:eastAsia="Arial" w:hAnsi="Arial"/>
          <w:sz w:val="21"/>
          <w:szCs w:val="21"/>
          <w:color w:val="auto"/>
        </w:rPr>
      </w:pPr>
      <w:r>
        <w:rPr>
          <w:rFonts w:ascii="Arial" w:cs="Arial" w:eastAsia="Arial" w:hAnsi="Arial"/>
          <w:sz w:val="21"/>
          <w:szCs w:val="21"/>
          <w:color w:val="auto"/>
        </w:rPr>
        <w:t>Nothing contained in this Agreement (including, without limitation, subparagraph 8(d) and Paragraph 9) or otherwise limits Employee’s ability to communicate directly with and provide information, including documents, not otherwise protected from disclosure by any applicable law or privilege, to the Securities and Exchange Commission (the “SEC”), the Occupational Safety and Health Administration (“OSHA”) or any other federal, state or local governmental agency or commission regarding possible legal violations, without disclosure to the Company. The Company may not retaliate against Employee for any of these activities, and nothing in this Agreement requires Employee to waive any monetary award or other payment that Employee might become entitled to from the SEC or OSHA.</w:t>
      </w:r>
    </w:p>
    <w:p>
      <w:pPr>
        <w:spacing w:after="0" w:line="180" w:lineRule="exact"/>
        <w:rPr>
          <w:sz w:val="20"/>
          <w:szCs w:val="20"/>
          <w:color w:val="auto"/>
        </w:rPr>
      </w:pPr>
    </w:p>
    <w:p>
      <w:pPr>
        <w:ind w:left="-242" w:firstLine="1305"/>
        <w:spacing w:after="0" w:line="284" w:lineRule="auto"/>
        <w:tabs>
          <w:tab w:leader="none" w:pos="1486" w:val="left"/>
        </w:tabs>
        <w:numPr>
          <w:ilvl w:val="0"/>
          <w:numId w:val="34"/>
        </w:numPr>
        <w:rPr>
          <w:rFonts w:ascii="Arial" w:cs="Arial" w:eastAsia="Arial" w:hAnsi="Arial"/>
          <w:sz w:val="19"/>
          <w:szCs w:val="19"/>
          <w:color w:val="auto"/>
        </w:rPr>
      </w:pPr>
      <w:r>
        <w:rPr>
          <w:rFonts w:ascii="Arial" w:cs="Arial" w:eastAsia="Arial" w:hAnsi="Arial"/>
          <w:sz w:val="19"/>
          <w:szCs w:val="19"/>
          <w:color w:val="auto"/>
        </w:rPr>
        <w:t>Except as provided in subparagraph 8(c), during the Term and at all times thereafter, Employee shall not, directly or indirectly, use for Employee’s personal benefit, or disclose to or use for the direct or indirect benefit of anyone other than the Company (except as may be required within the scope of Employee’s duties hereunder), any secret or confidential information, knowledge or data of the Company or any of its employees, officers, directors or agents (“Confidential Information”). Confidential Information includes, but is not limited to: the terms and conditions of this Agreement; sales, marketing and other business methods; policies, plans, procedures, strategies and techniques; research and development projects and results; software and firmware; trade secrets, know-how, processes and other intellectual property; information on or relating to past, present or prospective employees or suppliers; and information on or relating to past, present or prospective customers, including customer lists. Notwithstanding the foregoing, Confidential Information does not include information that: (i) is generally available to the public; or (ii) is available to Employee on a nonconfidential basis from a source other than the Company, provided such source is not bound by a confidentiality agreement with the Company or otherwise prohibited from transmitting such information to Employee by a contractual, legal or fiduciary obligation. Employee agrees that Confidential Information is the exclusive property of the Company, and agrees that, immediately upon Employee’s termination of employment for any reason (including after the Term), Employee shall deliver to the Company all correspondence, documents, books, records, lists and other materials containing Confidential Information that are within Employee’s possession or control, regardless of the medium in which such materials are maintained, and Employee shall retain no copies thereof in any medium. Except as provided in subparagraph 8(c), without limiting the generality of the foregoing, Employee agrees neither to prepare, participate in or assist in the preparation of any article, book, speech or other writing or communication relating to the past, present or future business, operations, personnel or prospects of the Company, nor to encourage or assist others to do any of the foregoing, without the prior written consent of the Company (which may be withheld in the Company’s sole discretion). Nothing herein shall prevent Employee from: (A) complying with a valid subpoena or other legal requirement for disclosure of Confidential Information, provided that, except as provided in subparagraph 8(c), Employee shall use good faith efforts to notify the Company promptly and in advance of disclosure if Employee believes Employee is under a legal requirement to disclose Confidential Information otherwise protected from disclosure under this subparagraph; or (B) disclosing the terms and conditions of this Agreement to Employee’s spouse or tax, accounting, financial or legal advisors, or as necessary to enforce this Agreement. Notwithstanding the foregoing, pursuant to the Defend Trade Secrets Act of 2016 (18 U.S.C. § 1833(b)), Employee shall not be held criminally or civilly liable under any federal or state trade secret law for the disclosure of a trade secret that (i) is made (x) in confidence to a federal, state or local government official, either directly or indirectly, or to an attorney,</w:t>
      </w:r>
    </w:p>
    <w:p>
      <w:pPr>
        <w:sectPr>
          <w:pgSz w:w="11900" w:h="16838" w:orient="portrait"/>
          <w:cols w:equalWidth="0" w:num="1">
            <w:col w:w="11118"/>
          </w:cols>
          <w:pgMar w:left="482" w:top="1023" w:right="299" w:bottom="1440" w:gutter="0" w:footer="0" w:header="0"/>
        </w:sectPr>
      </w:pPr>
    </w:p>
    <w:bookmarkStart w:id="75" w:name="page76"/>
    <w:bookmarkEnd w:id="75"/>
    <w:p>
      <w:pPr>
        <w:ind w:right="60"/>
        <w:spacing w:after="0" w:line="297" w:lineRule="auto"/>
        <w:rPr>
          <w:sz w:val="20"/>
          <w:szCs w:val="20"/>
          <w:color w:val="auto"/>
        </w:rPr>
      </w:pPr>
      <w:r>
        <w:rPr>
          <w:rFonts w:ascii="Arial" w:cs="Arial" w:eastAsia="Arial" w:hAnsi="Arial"/>
          <w:sz w:val="19"/>
          <w:szCs w:val="19"/>
          <w:color w:val="auto"/>
        </w:rPr>
        <w:t>and (y) solely for the purpose of reporting or investigating a suspected violation of law; or (ii) is made in a complaint or other document filed in a lawsuit or other proceeding, if such filing is made under seal. In addition and without limiting the preceding sentence, if Employee files a lawsuit for retaliation by the Company for reporting a suspected violation of law, Employee may disclose the trade secret to his or her attorney and use the trade secret information in the court proceeding, if Employee (i) files any document containing the trade secret under seal, and (ii) does not disclose the trade secret, except pursuant to court order.</w:t>
      </w:r>
    </w:p>
    <w:p>
      <w:pPr>
        <w:spacing w:after="0" w:line="147" w:lineRule="exact"/>
        <w:rPr>
          <w:sz w:val="20"/>
          <w:szCs w:val="20"/>
          <w:color w:val="auto"/>
        </w:rPr>
      </w:pPr>
    </w:p>
    <w:p>
      <w:pPr>
        <w:ind w:firstLine="1305"/>
        <w:spacing w:after="0" w:line="289" w:lineRule="auto"/>
        <w:tabs>
          <w:tab w:leader="none" w:pos="1716" w:val="left"/>
        </w:tabs>
        <w:numPr>
          <w:ilvl w:val="2"/>
          <w:numId w:val="35"/>
        </w:numPr>
        <w:rPr>
          <w:rFonts w:ascii="Arial" w:cs="Arial" w:eastAsia="Arial" w:hAnsi="Arial"/>
          <w:sz w:val="19"/>
          <w:szCs w:val="19"/>
          <w:color w:val="auto"/>
        </w:rPr>
      </w:pPr>
      <w:r>
        <w:rPr>
          <w:rFonts w:ascii="Arial" w:cs="Arial" w:eastAsia="Arial" w:hAnsi="Arial"/>
          <w:sz w:val="19"/>
          <w:szCs w:val="19"/>
          <w:color w:val="auto"/>
        </w:rPr>
        <w:t>Employee acknowledges that the restrictions contained in this Paragraph 8, in light of the nature of the businesses in which the Company is engaged and Employee’s position with the Company, are reasonable and necessary to protect the legitimate interests of the Company, and that any violation of these restrictions would result in irreparable injury to the Company. Employee therefore agrees that: (i) in the event of Employee’s violation of any of these restrictions, the Company shall have the right to suspend or terminate any unaccrued payment obligations to Employee hereunder and/or Employee’s unaccrued rights under any compensation or benefit plans or programs hereunder or thereunder (including in each case any arising following termination of employment); and (ii) in the event of Employee’s violation or threatened violation of any of these restrictions, the Company shall be entitled to seek from any court of competent jurisdiction: (A) preliminary and permanent injunctive relief against Employee; (B) damages from Employee (including the Company’s reasonable legal fees and other costs and expenses); and (C) an equitable accounting of all compensation, commissions, earnings, profits and other benefits to Employee arising from such violation; all of which rights shall be cumulative and in addition to any other rights and remedies to which the Company may be entitled as set forth herein or as a matter of law.</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ind w:right="200" w:firstLine="1305"/>
        <w:spacing w:after="0" w:line="264" w:lineRule="auto"/>
        <w:tabs>
          <w:tab w:leader="none" w:pos="1692" w:val="left"/>
        </w:tabs>
        <w:numPr>
          <w:ilvl w:val="2"/>
          <w:numId w:val="35"/>
        </w:numPr>
        <w:rPr>
          <w:rFonts w:ascii="Arial" w:cs="Arial" w:eastAsia="Arial" w:hAnsi="Arial"/>
          <w:sz w:val="21"/>
          <w:szCs w:val="21"/>
          <w:color w:val="auto"/>
        </w:rPr>
      </w:pPr>
      <w:r>
        <w:rPr>
          <w:rFonts w:ascii="Arial" w:cs="Arial" w:eastAsia="Arial" w:hAnsi="Arial"/>
          <w:sz w:val="21"/>
          <w:szCs w:val="21"/>
          <w:color w:val="auto"/>
        </w:rPr>
        <w:t>Employee agrees that if any part of the restrictions contained in this Paragraph 8, or the application thereof, is construed to be invalid or unenforceable, the remainder of such restrictions or the application thereof shall not be affected and the remaining restrictions shall have full force and effect without regard to the invalid or unenforceable portions. If any restriction is held to be unenforceable because of the area covered, the duration thereof or the scope thereof, Employee agrees that the court making such determination shall have the power to reduce the area and/or the duration, and/or limit the scope thereof, and the restriction shall then be enforceable in its reduced form.</w:t>
      </w:r>
    </w:p>
    <w:p>
      <w:pPr>
        <w:spacing w:after="0" w:line="175" w:lineRule="exact"/>
        <w:rPr>
          <w:rFonts w:ascii="Arial" w:cs="Arial" w:eastAsia="Arial" w:hAnsi="Arial"/>
          <w:sz w:val="21"/>
          <w:szCs w:val="21"/>
          <w:color w:val="auto"/>
        </w:rPr>
      </w:pPr>
    </w:p>
    <w:p>
      <w:pPr>
        <w:jc w:val="both"/>
        <w:ind w:right="320" w:firstLine="368"/>
        <w:spacing w:after="0" w:line="260" w:lineRule="auto"/>
        <w:tabs>
          <w:tab w:leader="none" w:pos="792" w:val="left"/>
        </w:tabs>
        <w:numPr>
          <w:ilvl w:val="1"/>
          <w:numId w:val="36"/>
        </w:numPr>
        <w:rPr>
          <w:rFonts w:ascii="Arial" w:cs="Arial" w:eastAsia="Arial" w:hAnsi="Arial"/>
          <w:sz w:val="22"/>
          <w:szCs w:val="22"/>
          <w:color w:val="auto"/>
        </w:rPr>
      </w:pPr>
      <w:r>
        <w:rPr>
          <w:rFonts w:ascii="Arial" w:cs="Arial" w:eastAsia="Arial" w:hAnsi="Arial"/>
          <w:sz w:val="22"/>
          <w:szCs w:val="22"/>
          <w:color w:val="auto"/>
        </w:rPr>
        <w:t>If Employee violates any such restrictions, the period of such violation (from the commencement of any such violation until such time as such violation shall be cured by Employee) shall not count toward or be included in any applicable restrictive period.</w:t>
      </w:r>
    </w:p>
    <w:p>
      <w:pPr>
        <w:spacing w:after="0" w:line="177" w:lineRule="exact"/>
        <w:rPr>
          <w:rFonts w:ascii="Arial" w:cs="Arial" w:eastAsia="Arial" w:hAnsi="Arial"/>
          <w:sz w:val="22"/>
          <w:szCs w:val="22"/>
          <w:color w:val="auto"/>
        </w:rPr>
      </w:pPr>
    </w:p>
    <w:p>
      <w:pPr>
        <w:jc w:val="both"/>
        <w:ind w:right="560" w:firstLine="368"/>
        <w:spacing w:after="0" w:line="254" w:lineRule="auto"/>
        <w:tabs>
          <w:tab w:leader="none" w:pos="792" w:val="left"/>
        </w:tabs>
        <w:numPr>
          <w:ilvl w:val="1"/>
          <w:numId w:val="36"/>
        </w:numPr>
        <w:rPr>
          <w:rFonts w:ascii="Arial" w:cs="Arial" w:eastAsia="Arial" w:hAnsi="Arial"/>
          <w:sz w:val="22"/>
          <w:szCs w:val="22"/>
          <w:color w:val="auto"/>
        </w:rPr>
      </w:pPr>
      <w:r>
        <w:rPr>
          <w:rFonts w:ascii="Arial" w:cs="Arial" w:eastAsia="Arial" w:hAnsi="Arial"/>
          <w:sz w:val="22"/>
          <w:szCs w:val="22"/>
          <w:color w:val="auto"/>
        </w:rPr>
        <w:t>Employee agrees that prior to accepting employment with any other person or entity at any time during the one-year period following termination of employment referred to in subparagraph (b)(i) above, Employee will provide the prospective employer with written notice of the provisions of this Paragraph 8, with a copy of such notice provided simultaneously to the Company.</w:t>
      </w:r>
    </w:p>
    <w:p>
      <w:pPr>
        <w:spacing w:after="0" w:line="185" w:lineRule="exact"/>
        <w:rPr>
          <w:rFonts w:ascii="Arial" w:cs="Arial" w:eastAsia="Arial" w:hAnsi="Arial"/>
          <w:sz w:val="22"/>
          <w:szCs w:val="22"/>
          <w:color w:val="auto"/>
        </w:rPr>
      </w:pPr>
    </w:p>
    <w:p>
      <w:pPr>
        <w:ind w:firstLine="188"/>
        <w:spacing w:after="0" w:line="248" w:lineRule="auto"/>
        <w:tabs>
          <w:tab w:leader="none" w:pos="522"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Non-Disparaging Statements</w:t>
      </w:r>
      <w:r>
        <w:rPr>
          <w:rFonts w:ascii="Arial" w:cs="Arial" w:eastAsia="Arial" w:hAnsi="Arial"/>
          <w:sz w:val="22"/>
          <w:szCs w:val="22"/>
          <w:color w:val="auto"/>
        </w:rPr>
        <w:t>. Except as provided in subparagraph 8(c), during the period of Employee’s employment (whether during the Term or thereafter), and for a period of three (3) years thereafter, neither party shall disparage (directly or indirectly; orally, in writing or otherwise), the other party or, in the case of the Company, any of its employees, officers or directors, in any communication with or to any person or entity, including: (a) any actual or potential employer of Employee; (b) any actual or potential employee, customer, consultant, independent contractor, investor, lender, service provider or supplier of the Company; or (c) any media outlet. The foregoing shall not be deemed to restrict either party’s obligation to testify truthfully in any proceeding.</w:t>
      </w:r>
    </w:p>
    <w:p>
      <w:pPr>
        <w:sectPr>
          <w:pgSz w:w="11900" w:h="16838" w:orient="portrait"/>
          <w:cols w:equalWidth="0" w:num="1">
            <w:col w:w="11400"/>
          </w:cols>
          <w:pgMar w:left="240" w:top="807" w:right="259" w:bottom="1440" w:gutter="0" w:footer="0" w:header="0"/>
        </w:sectPr>
      </w:pPr>
    </w:p>
    <w:bookmarkStart w:id="76" w:name="page77"/>
    <w:bookmarkEnd w:id="76"/>
    <w:p>
      <w:pPr>
        <w:ind w:left="1100" w:hanging="444"/>
        <w:spacing w:after="0"/>
        <w:tabs>
          <w:tab w:leader="none" w:pos="1100" w:val="left"/>
        </w:tabs>
        <w:numPr>
          <w:ilvl w:val="1"/>
          <w:numId w:val="38"/>
        </w:numPr>
        <w:rPr>
          <w:rFonts w:ascii="Arial" w:cs="Arial" w:eastAsia="Arial" w:hAnsi="Arial"/>
          <w:sz w:val="22"/>
          <w:szCs w:val="22"/>
          <w:color w:val="auto"/>
        </w:rPr>
      </w:pPr>
      <w:r>
        <w:rPr>
          <w:rFonts w:ascii="Arial" w:cs="Arial" w:eastAsia="Arial" w:hAnsi="Arial"/>
          <w:sz w:val="22"/>
          <w:szCs w:val="22"/>
          <w:u w:val="single" w:color="auto"/>
          <w:color w:val="auto"/>
        </w:rPr>
        <w:t>Company Property</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620" w:hanging="315"/>
        <w:spacing w:after="0"/>
        <w:tabs>
          <w:tab w:leader="none" w:pos="1620" w:val="left"/>
        </w:tabs>
        <w:numPr>
          <w:ilvl w:val="2"/>
          <w:numId w:val="38"/>
        </w:numPr>
        <w:rPr>
          <w:rFonts w:ascii="Arial" w:cs="Arial" w:eastAsia="Arial" w:hAnsi="Arial"/>
          <w:sz w:val="22"/>
          <w:szCs w:val="22"/>
          <w:color w:val="auto"/>
        </w:rPr>
      </w:pPr>
      <w:r>
        <w:rPr>
          <w:rFonts w:ascii="Arial" w:cs="Arial" w:eastAsia="Arial" w:hAnsi="Arial"/>
          <w:sz w:val="22"/>
          <w:szCs w:val="22"/>
          <w:color w:val="auto"/>
        </w:rPr>
        <w:t>To the extent any Company Intellectual Property (as defined in subparagraph</w:t>
      </w:r>
    </w:p>
    <w:p>
      <w:pPr>
        <w:spacing w:after="0" w:line="21" w:lineRule="exact"/>
        <w:rPr>
          <w:rFonts w:ascii="Arial" w:cs="Arial" w:eastAsia="Arial" w:hAnsi="Arial"/>
          <w:sz w:val="22"/>
          <w:szCs w:val="22"/>
          <w:color w:val="auto"/>
        </w:rPr>
      </w:pPr>
    </w:p>
    <w:p>
      <w:pPr>
        <w:ind w:right="80" w:firstLine="8"/>
        <w:spacing w:after="0" w:line="281" w:lineRule="auto"/>
        <w:tabs>
          <w:tab w:leader="none" w:pos="294" w:val="left"/>
        </w:tabs>
        <w:numPr>
          <w:ilvl w:val="0"/>
          <w:numId w:val="39"/>
        </w:numPr>
        <w:rPr>
          <w:rFonts w:ascii="Arial" w:cs="Arial" w:eastAsia="Arial" w:hAnsi="Arial"/>
          <w:sz w:val="19"/>
          <w:szCs w:val="19"/>
          <w:color w:val="auto"/>
        </w:rPr>
      </w:pPr>
      <w:r>
        <w:rPr>
          <w:rFonts w:ascii="Arial" w:cs="Arial" w:eastAsia="Arial" w:hAnsi="Arial"/>
          <w:sz w:val="19"/>
          <w:szCs w:val="19"/>
          <w:color w:val="auto"/>
        </w:rPr>
        <w:t>below) is not already owned by the Company as a matter of law or by prior written assignment by Employee to the Company, Employee hereby assigns to the Company, and agrees to assign to the Company in the future (to the extent required), all right, title and interest that Employee now has or acquires in the future in and to any and all Company Intellectual Property. Employee shall further cooperate with the Company in obtaining, protecting and enforcing its interests in Company Intellectual Property. Such cooperation shall be at the Company’s expense, and shall include, at the Company’s election, without limitation, signing all documents reasonably requested by the Company for patent, copyright and other Intellectual Property (as defined in subparagraph</w:t>
      </w:r>
    </w:p>
    <w:p>
      <w:pPr>
        <w:spacing w:after="0" w:line="4" w:lineRule="exact"/>
        <w:rPr>
          <w:rFonts w:ascii="Arial" w:cs="Arial" w:eastAsia="Arial" w:hAnsi="Arial"/>
          <w:sz w:val="19"/>
          <w:szCs w:val="19"/>
          <w:color w:val="auto"/>
        </w:rPr>
      </w:pPr>
    </w:p>
    <w:p>
      <w:pPr>
        <w:ind w:firstLine="8"/>
        <w:spacing w:after="0" w:line="258" w:lineRule="auto"/>
        <w:tabs>
          <w:tab w:leader="none" w:pos="294" w:val="left"/>
        </w:tabs>
        <w:numPr>
          <w:ilvl w:val="0"/>
          <w:numId w:val="40"/>
        </w:numPr>
        <w:rPr>
          <w:rFonts w:ascii="Arial" w:cs="Arial" w:eastAsia="Arial" w:hAnsi="Arial"/>
          <w:sz w:val="21"/>
          <w:szCs w:val="21"/>
          <w:color w:val="auto"/>
        </w:rPr>
      </w:pPr>
      <w:r>
        <w:rPr>
          <w:rFonts w:ascii="Arial" w:cs="Arial" w:eastAsia="Arial" w:hAnsi="Arial"/>
          <w:sz w:val="21"/>
          <w:szCs w:val="21"/>
          <w:color w:val="auto"/>
        </w:rPr>
        <w:t>below) applications and registrations, and individual assignments thereof, and providing other reasonably requested assistance. Employee’s obligation to assist the Company in obtaining, protecting and enforcing Company Intellectual Property rights shall continue following Employee’s employment with the Company, but the Company shall be obliged to compensate Employee at a then prevailing reasonable consulting rate for any time spent and any out-of-pocket expenses incurred at the Company’s request for providing such assistance. Such compensation shall be paid irrespective of, and is not contingent upon, the substance of any testimony Employee may give or provide while assisting the Company.</w:t>
      </w:r>
    </w:p>
    <w:p>
      <w:pPr>
        <w:spacing w:after="0" w:line="180" w:lineRule="exact"/>
        <w:rPr>
          <w:rFonts w:ascii="Arial" w:cs="Arial" w:eastAsia="Arial" w:hAnsi="Arial"/>
          <w:sz w:val="21"/>
          <w:szCs w:val="21"/>
          <w:color w:val="auto"/>
        </w:rPr>
      </w:pPr>
    </w:p>
    <w:p>
      <w:pPr>
        <w:ind w:right="120" w:firstLine="1305"/>
        <w:spacing w:after="0" w:line="258" w:lineRule="auto"/>
        <w:tabs>
          <w:tab w:leader="none" w:pos="2197" w:val="left"/>
        </w:tabs>
        <w:numPr>
          <w:ilvl w:val="2"/>
          <w:numId w:val="40"/>
        </w:numPr>
        <w:rPr>
          <w:rFonts w:ascii="Arial" w:cs="Arial" w:eastAsia="Arial" w:hAnsi="Arial"/>
          <w:sz w:val="21"/>
          <w:szCs w:val="21"/>
          <w:color w:val="auto"/>
        </w:rPr>
      </w:pPr>
      <w:r>
        <w:rPr>
          <w:rFonts w:ascii="Arial" w:cs="Arial" w:eastAsia="Arial" w:hAnsi="Arial"/>
          <w:sz w:val="21"/>
          <w:szCs w:val="21"/>
          <w:color w:val="auto"/>
        </w:rPr>
        <w:t>Employee shall use reasonable efforts to promptly disclose to the Company, or any person(s) designated by the Company, all Intellectual Property that is created, fixed, conceived or reduced to practice by Employee, either alone or jointly with others, during the term of Employee’s employment with the Company, whether or not patentable or copyrightable or believed by Employee to be patentable or copyrightable, including without limitation any Intellectual Property (to be held in confidence by the Company) that qualifies fully as a nonassignable invention under Section 2870 of the California Labor Code (“Nonassignable IP”). If Employee contends that any such Intellectual Property qualifies as Nonassignable IP, Employee will promptly so notify the Company, and Employee agrees to cooperate fully with a review and verification process by the Company. In addition, Employee will promptly disclose to the Company (to be held in confidence) all patent applications filed by Employee or on Employee’s behalf within six (6) months after termination of employment, and to cooperate fully with a review and determination by the Company as to whether such patent applications constitute or include Company Intellectual Property. Employee has reviewed the notification on Schedule 2 and agrees that Employee’s execution hereof acknowledges receipt of such notification.</w:t>
      </w:r>
    </w:p>
    <w:p>
      <w:pPr>
        <w:spacing w:after="0" w:line="180" w:lineRule="exact"/>
        <w:rPr>
          <w:rFonts w:ascii="Arial" w:cs="Arial" w:eastAsia="Arial" w:hAnsi="Arial"/>
          <w:sz w:val="21"/>
          <w:szCs w:val="21"/>
          <w:color w:val="auto"/>
        </w:rPr>
      </w:pPr>
    </w:p>
    <w:p>
      <w:pPr>
        <w:ind w:left="1620" w:hanging="315"/>
        <w:spacing w:after="0"/>
        <w:tabs>
          <w:tab w:leader="none" w:pos="1620" w:val="left"/>
        </w:tabs>
        <w:numPr>
          <w:ilvl w:val="2"/>
          <w:numId w:val="40"/>
        </w:numPr>
        <w:rPr>
          <w:rFonts w:ascii="Arial" w:cs="Arial" w:eastAsia="Arial" w:hAnsi="Arial"/>
          <w:sz w:val="22"/>
          <w:szCs w:val="22"/>
          <w:color w:val="auto"/>
        </w:rPr>
      </w:pPr>
      <w:r>
        <w:rPr>
          <w:rFonts w:ascii="Arial" w:cs="Arial" w:eastAsia="Arial" w:hAnsi="Arial"/>
          <w:sz w:val="22"/>
          <w:szCs w:val="22"/>
          <w:color w:val="auto"/>
        </w:rPr>
        <w:t>In the event that the Company is unable for any reason whatsoever to secure</w:t>
      </w:r>
    </w:p>
    <w:p>
      <w:pPr>
        <w:spacing w:after="0" w:line="22" w:lineRule="exact"/>
        <w:rPr>
          <w:sz w:val="20"/>
          <w:szCs w:val="20"/>
          <w:color w:val="auto"/>
        </w:rPr>
      </w:pPr>
    </w:p>
    <w:p>
      <w:pPr>
        <w:ind w:right="140"/>
        <w:spacing w:after="0" w:line="290" w:lineRule="auto"/>
        <w:rPr>
          <w:sz w:val="20"/>
          <w:szCs w:val="20"/>
          <w:color w:val="auto"/>
        </w:rPr>
      </w:pPr>
      <w:r>
        <w:rPr>
          <w:rFonts w:ascii="Arial" w:cs="Arial" w:eastAsia="Arial" w:hAnsi="Arial"/>
          <w:sz w:val="19"/>
          <w:szCs w:val="19"/>
          <w:color w:val="auto"/>
        </w:rPr>
        <w:t>Employee’s signature on any lawful and necessary document to apply for, execute or otherwise further prosecute or register any patent or copyright application or any other Company Intellectual Property application or registration, Employee hereby irrevocably designates and appoints the Company and its duly authorized officers and agents as Employee’s agents and attorneys-in-fact to act for and on Employee’s behalf and instead of Employee to execute and file such lawful and necessary documents and to do all other lawfully permitted acts to further prosecute, issue and/or register patents, copyrights and any other Company Intellectual Property rights with the same legal force and effect as if executed by Employee.</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 To the extent any materials, including written, graphic or computer</w:t>
      </w:r>
    </w:p>
    <w:p>
      <w:pPr>
        <w:spacing w:after="0" w:line="22" w:lineRule="exact"/>
        <w:rPr>
          <w:sz w:val="20"/>
          <w:szCs w:val="20"/>
          <w:color w:val="auto"/>
        </w:rPr>
      </w:pPr>
    </w:p>
    <w:p>
      <w:pPr>
        <w:ind w:right="240"/>
        <w:spacing w:after="0" w:line="244" w:lineRule="auto"/>
        <w:rPr>
          <w:sz w:val="20"/>
          <w:szCs w:val="20"/>
          <w:color w:val="auto"/>
        </w:rPr>
      </w:pPr>
      <w:r>
        <w:rPr>
          <w:rFonts w:ascii="Arial" w:cs="Arial" w:eastAsia="Arial" w:hAnsi="Arial"/>
          <w:sz w:val="22"/>
          <w:szCs w:val="22"/>
          <w:color w:val="auto"/>
        </w:rPr>
        <w:t>programmed materials, authored, prepared, contributed to or written by Employee, in whole or in part, during the term of employment by the Company and relating in whole or in part to the business, products, services, research or development of the Company qualify as “work made for hire,” as such term is defined and used in the copyright laws of the United States, then such materials shall be done by Employee as “work made for hire” under such law.</w:t>
      </w:r>
    </w:p>
    <w:p>
      <w:pPr>
        <w:sectPr>
          <w:pgSz w:w="11900" w:h="16838" w:orient="portrait"/>
          <w:cols w:equalWidth="0" w:num="1">
            <w:col w:w="11360"/>
          </w:cols>
          <w:pgMar w:left="240" w:top="807" w:right="299" w:bottom="1440" w:gutter="0" w:footer="0" w:header="0"/>
        </w:sectPr>
      </w:pPr>
    </w:p>
    <w:bookmarkStart w:id="77" w:name="page78"/>
    <w:bookmarkEnd w:id="77"/>
    <w:p>
      <w:pPr>
        <w:ind w:left="1300"/>
        <w:spacing w:after="0"/>
        <w:rPr>
          <w:sz w:val="20"/>
          <w:szCs w:val="20"/>
          <w:color w:val="auto"/>
        </w:rPr>
      </w:pPr>
      <w:r>
        <w:rPr>
          <w:rFonts w:ascii="Arial" w:cs="Arial" w:eastAsia="Arial" w:hAnsi="Arial"/>
          <w:sz w:val="22"/>
          <w:szCs w:val="22"/>
          <w:color w:val="auto"/>
        </w:rPr>
        <w:t>(e) “Intellectual Property” means any and all ideas, inventions, formulae, knowhow,</w:t>
      </w:r>
    </w:p>
    <w:p>
      <w:pPr>
        <w:spacing w:after="0" w:line="22"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trade secrets, devices, designs, models, methods, techniques, processes, specifications, tooling, computer programs, software code, works of authorship, copyrighted and copyrightable works, mask works, trademarks and service marks, Internet domain names, technical and product information, patents and patent applications, and any other intellectual property rights or applications, throughout the world. “Company Intellectual Property” means any Intellectual Property created, fixed, conceived or reduced to practice, in whole or in part, by Employee, either alone or with others, whether or not such Intellectual Property is patentable or copyrightable, that either: (i) relates to the Company’s current or planned businesses; or (ii) is created, fixed, conceived or reduced to practice (A) in the performance of the Employee’s duties or (B) using the Company’s information, facilities, equipment or other assets. “Company Intellectual Property” does not include Nonassignable IP.</w:t>
      </w:r>
    </w:p>
    <w:p>
      <w:pPr>
        <w:spacing w:after="0" w:line="161" w:lineRule="exact"/>
        <w:rPr>
          <w:sz w:val="20"/>
          <w:szCs w:val="20"/>
          <w:color w:val="auto"/>
        </w:rPr>
      </w:pPr>
    </w:p>
    <w:p>
      <w:pPr>
        <w:ind w:left="980" w:hanging="324"/>
        <w:spacing w:after="0"/>
        <w:tabs>
          <w:tab w:leader="none" w:pos="980" w:val="left"/>
        </w:tabs>
        <w:numPr>
          <w:ilvl w:val="2"/>
          <w:numId w:val="41"/>
        </w:numPr>
        <w:rPr>
          <w:rFonts w:ascii="Arial" w:cs="Arial" w:eastAsia="Arial" w:hAnsi="Arial"/>
          <w:sz w:val="22"/>
          <w:szCs w:val="22"/>
          <w:color w:val="auto"/>
        </w:rPr>
      </w:pPr>
      <w:r>
        <w:rPr>
          <w:rFonts w:ascii="Arial" w:cs="Arial" w:eastAsia="Arial" w:hAnsi="Arial"/>
          <w:sz w:val="22"/>
          <w:szCs w:val="22"/>
          <w:u w:val="single" w:color="auto"/>
          <w:color w:val="auto"/>
        </w:rPr>
        <w:t>Representations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600" w:hanging="295"/>
        <w:spacing w:after="0"/>
        <w:tabs>
          <w:tab w:leader="none" w:pos="1600" w:val="left"/>
        </w:tabs>
        <w:numPr>
          <w:ilvl w:val="3"/>
          <w:numId w:val="41"/>
        </w:numPr>
        <w:rPr>
          <w:rFonts w:ascii="Arial" w:cs="Arial" w:eastAsia="Arial" w:hAnsi="Arial"/>
          <w:sz w:val="22"/>
          <w:szCs w:val="22"/>
          <w:color w:val="auto"/>
        </w:rPr>
      </w:pPr>
      <w:r>
        <w:rPr>
          <w:rFonts w:ascii="Arial" w:cs="Arial" w:eastAsia="Arial" w:hAnsi="Arial"/>
          <w:sz w:val="22"/>
          <w:szCs w:val="22"/>
          <w:color w:val="auto"/>
        </w:rPr>
        <w:t>Employee represents that:</w:t>
      </w:r>
    </w:p>
    <w:p>
      <w:pPr>
        <w:spacing w:after="0" w:line="219" w:lineRule="exact"/>
        <w:rPr>
          <w:rFonts w:ascii="Arial" w:cs="Arial" w:eastAsia="Arial" w:hAnsi="Arial"/>
          <w:sz w:val="22"/>
          <w:szCs w:val="22"/>
          <w:color w:val="auto"/>
        </w:rPr>
      </w:pPr>
    </w:p>
    <w:p>
      <w:pPr>
        <w:ind w:right="780" w:firstLine="476"/>
        <w:spacing w:after="0" w:line="276" w:lineRule="auto"/>
        <w:tabs>
          <w:tab w:leader="none" w:pos="852" w:val="left"/>
        </w:tabs>
        <w:numPr>
          <w:ilvl w:val="1"/>
          <w:numId w:val="42"/>
        </w:numPr>
        <w:rPr>
          <w:rFonts w:ascii="Arial" w:cs="Arial" w:eastAsia="Arial" w:hAnsi="Arial"/>
          <w:sz w:val="22"/>
          <w:szCs w:val="22"/>
          <w:color w:val="auto"/>
        </w:rPr>
      </w:pPr>
      <w:r>
        <w:rPr>
          <w:rFonts w:ascii="Arial" w:cs="Arial" w:eastAsia="Arial" w:hAnsi="Arial"/>
          <w:sz w:val="22"/>
          <w:szCs w:val="22"/>
          <w:color w:val="auto"/>
        </w:rPr>
        <w:t>Employee has had the opportunity to retain and consult with legal counsel and tax advisors of Employee’s choice regarding the terms of this Agreement.</w:t>
      </w:r>
    </w:p>
    <w:p>
      <w:pPr>
        <w:spacing w:after="0" w:line="160" w:lineRule="exact"/>
        <w:rPr>
          <w:rFonts w:ascii="Arial" w:cs="Arial" w:eastAsia="Arial" w:hAnsi="Arial"/>
          <w:sz w:val="22"/>
          <w:szCs w:val="22"/>
          <w:color w:val="auto"/>
        </w:rPr>
      </w:pPr>
    </w:p>
    <w:p>
      <w:pPr>
        <w:ind w:right="160" w:firstLine="8"/>
        <w:spacing w:after="0" w:line="276" w:lineRule="auto"/>
        <w:tabs>
          <w:tab w:leader="none" w:pos="444" w:val="left"/>
        </w:tabs>
        <w:numPr>
          <w:ilvl w:val="0"/>
          <w:numId w:val="43"/>
        </w:numPr>
        <w:rPr>
          <w:rFonts w:ascii="Arial" w:cs="Arial" w:eastAsia="Arial" w:hAnsi="Arial"/>
          <w:sz w:val="22"/>
          <w:szCs w:val="22"/>
          <w:color w:val="auto"/>
        </w:rPr>
      </w:pPr>
      <w:r>
        <w:rPr>
          <w:rFonts w:ascii="Arial" w:cs="Arial" w:eastAsia="Arial" w:hAnsi="Arial"/>
          <w:sz w:val="22"/>
          <w:szCs w:val="22"/>
          <w:color w:val="auto"/>
        </w:rPr>
        <w:t>Subject to bankruptcy and insolvency laws and general equitable principles, this Agreement is enforceable against Employee in accordance with its terms.</w:t>
      </w:r>
    </w:p>
    <w:p>
      <w:pPr>
        <w:spacing w:after="0" w:line="161" w:lineRule="exact"/>
        <w:rPr>
          <w:sz w:val="20"/>
          <w:szCs w:val="20"/>
          <w:color w:val="auto"/>
        </w:rPr>
      </w:pPr>
    </w:p>
    <w:p>
      <w:pPr>
        <w:ind w:right="160" w:firstLine="656"/>
        <w:spacing w:after="0" w:line="260" w:lineRule="auto"/>
        <w:tabs>
          <w:tab w:leader="none" w:pos="1206"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This Agreement, and the performance of Employee’s obligations hereunder, do not conflict with, violate or give rise to any rights of other persons or entities under, any agreement, benefit plan or program, order, decree or judgment to which Employee is a party or by which Employee is bound.</w:t>
      </w:r>
    </w:p>
    <w:p>
      <w:pPr>
        <w:spacing w:after="0" w:line="177" w:lineRule="exact"/>
        <w:rPr>
          <w:sz w:val="20"/>
          <w:szCs w:val="20"/>
          <w:color w:val="auto"/>
        </w:rPr>
      </w:pPr>
    </w:p>
    <w:p>
      <w:pPr>
        <w:ind w:left="960" w:hanging="304"/>
        <w:spacing w:after="0"/>
        <w:tabs>
          <w:tab w:leader="none" w:pos="960" w:val="left"/>
        </w:tabs>
        <w:numPr>
          <w:ilvl w:val="2"/>
          <w:numId w:val="45"/>
        </w:numPr>
        <w:rPr>
          <w:rFonts w:ascii="Arial" w:cs="Arial" w:eastAsia="Arial" w:hAnsi="Arial"/>
          <w:sz w:val="22"/>
          <w:szCs w:val="22"/>
          <w:color w:val="auto"/>
        </w:rPr>
      </w:pPr>
      <w:r>
        <w:rPr>
          <w:rFonts w:ascii="Arial" w:cs="Arial" w:eastAsia="Arial" w:hAnsi="Arial"/>
          <w:sz w:val="22"/>
          <w:szCs w:val="22"/>
          <w:color w:val="auto"/>
        </w:rPr>
        <w:t>The Company represents that:</w:t>
      </w:r>
    </w:p>
    <w:p>
      <w:pPr>
        <w:spacing w:after="0" w:line="219" w:lineRule="exact"/>
        <w:rPr>
          <w:rFonts w:ascii="Arial" w:cs="Arial" w:eastAsia="Arial" w:hAnsi="Arial"/>
          <w:sz w:val="22"/>
          <w:szCs w:val="22"/>
          <w:color w:val="auto"/>
        </w:rPr>
      </w:pPr>
    </w:p>
    <w:p>
      <w:pPr>
        <w:ind w:right="780" w:firstLine="8"/>
        <w:spacing w:after="0" w:line="276" w:lineRule="auto"/>
        <w:tabs>
          <w:tab w:leader="none" w:pos="438" w:val="left"/>
        </w:tabs>
        <w:numPr>
          <w:ilvl w:val="0"/>
          <w:numId w:val="46"/>
        </w:numPr>
        <w:rPr>
          <w:rFonts w:ascii="Arial" w:cs="Arial" w:eastAsia="Arial" w:hAnsi="Arial"/>
          <w:sz w:val="22"/>
          <w:szCs w:val="22"/>
          <w:color w:val="auto"/>
        </w:rPr>
      </w:pPr>
      <w:r>
        <w:rPr>
          <w:rFonts w:ascii="Arial" w:cs="Arial" w:eastAsia="Arial" w:hAnsi="Arial"/>
          <w:sz w:val="22"/>
          <w:szCs w:val="22"/>
          <w:color w:val="auto"/>
        </w:rPr>
        <w:t>Subject to bankruptcy and insolvency laws and general equitable principles, this Agreement is enforceable against the Company in accordance with its terms.</w:t>
      </w:r>
    </w:p>
    <w:p>
      <w:pPr>
        <w:spacing w:after="0" w:line="160" w:lineRule="exact"/>
        <w:rPr>
          <w:rFonts w:ascii="Arial" w:cs="Arial" w:eastAsia="Arial" w:hAnsi="Arial"/>
          <w:sz w:val="22"/>
          <w:szCs w:val="22"/>
          <w:color w:val="auto"/>
        </w:rPr>
      </w:pPr>
    </w:p>
    <w:p>
      <w:pPr>
        <w:ind w:right="20" w:firstLine="242"/>
        <w:spacing w:after="0" w:line="260" w:lineRule="auto"/>
        <w:tabs>
          <w:tab w:leader="none" w:pos="678" w:val="left"/>
        </w:tabs>
        <w:numPr>
          <w:ilvl w:val="1"/>
          <w:numId w:val="46"/>
        </w:numPr>
        <w:rPr>
          <w:rFonts w:ascii="Arial" w:cs="Arial" w:eastAsia="Arial" w:hAnsi="Arial"/>
          <w:sz w:val="22"/>
          <w:szCs w:val="22"/>
          <w:color w:val="auto"/>
        </w:rPr>
      </w:pPr>
      <w:r>
        <w:rPr>
          <w:rFonts w:ascii="Arial" w:cs="Arial" w:eastAsia="Arial" w:hAnsi="Arial"/>
          <w:sz w:val="22"/>
          <w:szCs w:val="22"/>
          <w:color w:val="auto"/>
        </w:rPr>
        <w:t>This Agreement, and the performance of the Company’s obligations hereunder, do not conflict with, violate or give rise to any rights to other persons or entities under, any agreement, order, decree or judgment to which the Company is a party or by which it is bound.</w:t>
      </w:r>
    </w:p>
    <w:p>
      <w:pPr>
        <w:spacing w:after="0" w:line="177" w:lineRule="exact"/>
        <w:rPr>
          <w:sz w:val="20"/>
          <w:szCs w:val="20"/>
          <w:color w:val="auto"/>
        </w:rPr>
      </w:pPr>
    </w:p>
    <w:p>
      <w:pPr>
        <w:ind w:right="120" w:firstLine="8"/>
        <w:spacing w:after="0" w:line="254" w:lineRule="auto"/>
        <w:tabs>
          <w:tab w:leader="none" w:pos="450"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Withholding; Deductions</w:t>
      </w:r>
      <w:r>
        <w:rPr>
          <w:rFonts w:ascii="Arial" w:cs="Arial" w:eastAsia="Arial" w:hAnsi="Arial"/>
          <w:sz w:val="22"/>
          <w:szCs w:val="22"/>
          <w:color w:val="auto"/>
        </w:rPr>
        <w:t>. All compensation under this Agreement is subject to applicable tax withholding requirements and other deductions required by law, the Company’s policies and Employee’s applicable Benefit Plan elections. Employee agrees that the Company is entitled to deduct from monies payable and reimbursable to Employee hereunder all sums that Employee owes the Company at any time.</w:t>
      </w:r>
    </w:p>
    <w:p>
      <w:pPr>
        <w:spacing w:after="0" w:line="185" w:lineRule="exact"/>
        <w:rPr>
          <w:rFonts w:ascii="Arial" w:cs="Arial" w:eastAsia="Arial" w:hAnsi="Arial"/>
          <w:sz w:val="22"/>
          <w:szCs w:val="22"/>
          <w:color w:val="auto"/>
        </w:rPr>
      </w:pPr>
    </w:p>
    <w:p>
      <w:pPr>
        <w:ind w:left="640" w:hanging="452"/>
        <w:spacing w:after="0"/>
        <w:tabs>
          <w:tab w:leader="none" w:pos="640" w:val="left"/>
        </w:tabs>
        <w:numPr>
          <w:ilvl w:val="1"/>
          <w:numId w:val="47"/>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firstLine="368"/>
        <w:spacing w:after="0" w:line="266" w:lineRule="auto"/>
        <w:tabs>
          <w:tab w:leader="none" w:pos="780" w:val="left"/>
        </w:tabs>
        <w:numPr>
          <w:ilvl w:val="2"/>
          <w:numId w:val="47"/>
        </w:numPr>
        <w:rPr>
          <w:rFonts w:ascii="Arial" w:cs="Arial" w:eastAsia="Arial" w:hAnsi="Arial"/>
          <w:sz w:val="21"/>
          <w:szCs w:val="21"/>
          <w:color w:val="auto"/>
        </w:rPr>
      </w:pPr>
      <w:r>
        <w:rPr>
          <w:rFonts w:ascii="Arial" w:cs="Arial" w:eastAsia="Arial" w:hAnsi="Arial"/>
          <w:sz w:val="21"/>
          <w:szCs w:val="21"/>
          <w:color w:val="auto"/>
        </w:rPr>
        <w:t>Notwithstanding any other provision of this Agreement to the contrary or otherwise, to the extent any expense, reimbursement or in-kind benefit provided to Employee constitutes a “deferral of compensation” within the meaning of section 409A of the Internal Revenue Code of 1986, as amended (the “Code”), and its implementing regulations and guidance (collectively, “Section 409A”): (i) the amount of expenses eligible for reimbursement or in-kind benefits provided to Employee during any calendar year will not affect the amount of expenses eligible for reimbursement or in-kind benefits</w:t>
      </w:r>
    </w:p>
    <w:p>
      <w:pPr>
        <w:sectPr>
          <w:pgSz w:w="11900" w:h="16838" w:orient="portrait"/>
          <w:cols w:equalWidth="0" w:num="1">
            <w:col w:w="11420"/>
          </w:cols>
          <w:pgMar w:left="240" w:top="1023" w:right="239" w:bottom="1440" w:gutter="0" w:footer="0" w:header="0"/>
        </w:sectPr>
      </w:pPr>
    </w:p>
    <w:bookmarkStart w:id="78" w:name="page79"/>
    <w:bookmarkEnd w:id="78"/>
    <w:p>
      <w:pPr>
        <w:ind w:right="40"/>
        <w:spacing w:after="0" w:line="250" w:lineRule="auto"/>
        <w:rPr>
          <w:sz w:val="20"/>
          <w:szCs w:val="20"/>
          <w:color w:val="auto"/>
        </w:rPr>
      </w:pPr>
      <w:r>
        <w:rPr>
          <w:rFonts w:ascii="Arial" w:cs="Arial" w:eastAsia="Arial" w:hAnsi="Arial"/>
          <w:sz w:val="22"/>
          <w:szCs w:val="22"/>
          <w:color w:val="auto"/>
        </w:rPr>
        <w:t>provided to Employee in any other calendar year; (ii) the reimbursements for expenses for which Employee is entitled to be reimbursed shall be made on or before the last day of the calendar year following the calendar year in which the applicable expense is incurred; and (iii) the right to payment or reimbursement or in-kind benefits hereunder may not be liquidated or exchanged for any other benefit.</w:t>
      </w:r>
    </w:p>
    <w:p>
      <w:pPr>
        <w:spacing w:after="0" w:line="188" w:lineRule="exact"/>
        <w:rPr>
          <w:sz w:val="20"/>
          <w:szCs w:val="20"/>
          <w:color w:val="auto"/>
        </w:rPr>
      </w:pPr>
    </w:p>
    <w:p>
      <w:pPr>
        <w:ind w:right="320" w:firstLine="368"/>
        <w:spacing w:after="0" w:line="276" w:lineRule="auto"/>
        <w:tabs>
          <w:tab w:leader="none" w:pos="792" w:val="left"/>
        </w:tabs>
        <w:numPr>
          <w:ilvl w:val="0"/>
          <w:numId w:val="48"/>
        </w:numPr>
        <w:rPr>
          <w:rFonts w:ascii="Arial" w:cs="Arial" w:eastAsia="Arial" w:hAnsi="Arial"/>
          <w:sz w:val="22"/>
          <w:szCs w:val="22"/>
          <w:color w:val="auto"/>
        </w:rPr>
      </w:pPr>
      <w:r>
        <w:rPr>
          <w:rFonts w:ascii="Arial" w:cs="Arial" w:eastAsia="Arial" w:hAnsi="Arial"/>
          <w:sz w:val="22"/>
          <w:szCs w:val="22"/>
          <w:color w:val="auto"/>
        </w:rPr>
        <w:t>For purposes of Section 409A, each payment in a series of payments provided to Employee pursuant to this Agreement will be deemed a separate payment.</w:t>
      </w:r>
    </w:p>
    <w:p>
      <w:pPr>
        <w:spacing w:after="0" w:line="160" w:lineRule="exact"/>
        <w:rPr>
          <w:rFonts w:ascii="Arial" w:cs="Arial" w:eastAsia="Arial" w:hAnsi="Arial"/>
          <w:sz w:val="22"/>
          <w:szCs w:val="22"/>
          <w:color w:val="auto"/>
        </w:rPr>
      </w:pPr>
    </w:p>
    <w:p>
      <w:pPr>
        <w:ind w:right="20" w:firstLine="368"/>
        <w:spacing w:after="0" w:line="287" w:lineRule="auto"/>
        <w:tabs>
          <w:tab w:leader="none" w:pos="780" w:val="left"/>
        </w:tabs>
        <w:numPr>
          <w:ilvl w:val="0"/>
          <w:numId w:val="48"/>
        </w:numPr>
        <w:rPr>
          <w:rFonts w:ascii="Arial" w:cs="Arial" w:eastAsia="Arial" w:hAnsi="Arial"/>
          <w:sz w:val="19"/>
          <w:szCs w:val="19"/>
          <w:color w:val="auto"/>
        </w:rPr>
      </w:pPr>
      <w:r>
        <w:rPr>
          <w:rFonts w:ascii="Arial" w:cs="Arial" w:eastAsia="Arial" w:hAnsi="Arial"/>
          <w:sz w:val="19"/>
          <w:szCs w:val="19"/>
          <w:color w:val="auto"/>
        </w:rPr>
        <w:t>Notwithstanding any other provision of this Agreement to the contrary or otherwise, any payment or benefit described in Paragraph 7 that represents a “deferral of compensation” within the meaning of Section 409A shall only be paid or provided to Employee upon Employee’s “separation from service” within the meaning of Treas.Reg.§1.409A-1(h) (or any successor regulation). To the extent compliance with the requirements of Treas.Reg.§1.409A-3(i)(2) (or any successor provision) is necessary to avoid the application of an additional tax under Section 409A to payments due to Employee upon or following Employee’s “separation from service,” then notwithstanding any other provision of this Agreement (or any otherwise applicable plan, policy, agreement or arrangement), any such payments that are otherwise due within six (6) months following Employee’s “separation from service” will be deferred (without interest) and paid to Employee in a lump sum immediately following that six (6) month period. In the event Employee dies during that six (6) month period, the amounts deferred on account of Treas.Reg.§1.409A-3(i)(2) (or any successor provision) shall be paid to the personal representatives of Employee’s estate within sixty (60) days following Employee’s death. This provision shall not be construed as preventing payments to Employee pursuant to Paragraph 7 in the first six (6) months following Employee’s “separation from service” equal to an amount up to two (2) times the lesser of: (i) Employee’s annualized compensation for the year prior to the “separation from service;” and (ii) the maximum amount that may be taken into account under a qualified plan pursuant to section 401(a)(17) of the Code.</w:t>
      </w:r>
    </w:p>
    <w:p>
      <w:pPr>
        <w:spacing w:after="0" w:line="164" w:lineRule="exact"/>
        <w:rPr>
          <w:rFonts w:ascii="Arial" w:cs="Arial" w:eastAsia="Arial" w:hAnsi="Arial"/>
          <w:sz w:val="19"/>
          <w:szCs w:val="19"/>
          <w:color w:val="auto"/>
        </w:rPr>
      </w:pPr>
    </w:p>
    <w:p>
      <w:pPr>
        <w:ind w:firstLine="368"/>
        <w:spacing w:after="0" w:line="251" w:lineRule="auto"/>
        <w:tabs>
          <w:tab w:leader="none" w:pos="792" w:val="left"/>
        </w:tabs>
        <w:numPr>
          <w:ilvl w:val="0"/>
          <w:numId w:val="48"/>
        </w:numPr>
        <w:rPr>
          <w:rFonts w:ascii="Arial" w:cs="Arial" w:eastAsia="Arial" w:hAnsi="Arial"/>
          <w:sz w:val="22"/>
          <w:szCs w:val="22"/>
          <w:color w:val="auto"/>
        </w:rPr>
      </w:pPr>
      <w:r>
        <w:rPr>
          <w:rFonts w:ascii="Arial" w:cs="Arial" w:eastAsia="Arial" w:hAnsi="Arial"/>
          <w:sz w:val="22"/>
          <w:szCs w:val="22"/>
          <w:color w:val="auto"/>
        </w:rPr>
        <w:t>Notwithstanding any other provision of this Agreement to the contrary or otherwise, all benefits or payments provided by the Company to Employee that would be deemed to constitute “nonqualified deferred compensation” within the meaning of Section 409A are intended to comply with Section 409A. Notwithstanding any other provision in this Agreement to the contrary or otherwise, distributions may only be made under this Agreement upon an event and in a manner permitted by Section 409A or an applicable exemption.</w:t>
      </w:r>
    </w:p>
    <w:p>
      <w:pPr>
        <w:spacing w:after="0" w:line="230" w:lineRule="exact"/>
        <w:rPr>
          <w:sz w:val="20"/>
          <w:szCs w:val="20"/>
          <w:color w:val="auto"/>
        </w:rPr>
      </w:pPr>
    </w:p>
    <w:p>
      <w:pPr>
        <w:ind w:left="1100" w:hanging="444"/>
        <w:spacing w:after="0"/>
        <w:tabs>
          <w:tab w:leader="none" w:pos="1100"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w:t>
      </w:r>
    </w:p>
    <w:p>
      <w:pPr>
        <w:spacing w:after="0" w:line="233" w:lineRule="exact"/>
        <w:rPr>
          <w:sz w:val="20"/>
          <w:szCs w:val="20"/>
          <w:color w:val="auto"/>
        </w:rPr>
      </w:pPr>
    </w:p>
    <w:p>
      <w:pPr>
        <w:jc w:val="both"/>
        <w:ind w:right="260" w:firstLine="656"/>
        <w:spacing w:after="0" w:line="307" w:lineRule="auto"/>
        <w:tabs>
          <w:tab w:leader="none" w:pos="1068" w:val="left"/>
        </w:tabs>
        <w:numPr>
          <w:ilvl w:val="0"/>
          <w:numId w:val="50"/>
        </w:numPr>
        <w:rPr>
          <w:rFonts w:ascii="Arial" w:cs="Arial" w:eastAsia="Arial" w:hAnsi="Arial"/>
          <w:sz w:val="19"/>
          <w:szCs w:val="19"/>
          <w:color w:val="auto"/>
        </w:rPr>
      </w:pPr>
      <w:r>
        <w:rPr>
          <w:rFonts w:ascii="Arial" w:cs="Arial" w:eastAsia="Arial" w:hAnsi="Arial"/>
          <w:sz w:val="19"/>
          <w:szCs w:val="19"/>
          <w:color w:val="auto"/>
        </w:rPr>
        <w:t>If Comcast Corporation merges into, or transfers all or substantially all of its assets to, or as part of a reorganization, restructuring or other transaction becomes a subsidiary of, another entity, such other entity shall be deemed to be the successor to Comcast Corporation hereunder, and the term “Company” as used herein shall mean such other entity (together with its subsidiaries) as is appropriate, and this Agreement shall continue in full force and effect.</w:t>
      </w:r>
    </w:p>
    <w:p>
      <w:pPr>
        <w:spacing w:after="0" w:line="138" w:lineRule="exact"/>
        <w:rPr>
          <w:rFonts w:ascii="Arial" w:cs="Arial" w:eastAsia="Arial" w:hAnsi="Arial"/>
          <w:sz w:val="19"/>
          <w:szCs w:val="19"/>
          <w:color w:val="auto"/>
        </w:rPr>
      </w:pPr>
    </w:p>
    <w:p>
      <w:pPr>
        <w:ind w:right="140" w:firstLine="656"/>
        <w:spacing w:after="0" w:line="297" w:lineRule="auto"/>
        <w:tabs>
          <w:tab w:leader="none" w:pos="1080" w:val="left"/>
        </w:tabs>
        <w:numPr>
          <w:ilvl w:val="0"/>
          <w:numId w:val="50"/>
        </w:numPr>
        <w:rPr>
          <w:rFonts w:ascii="Arial" w:cs="Arial" w:eastAsia="Arial" w:hAnsi="Arial"/>
          <w:sz w:val="19"/>
          <w:szCs w:val="19"/>
          <w:color w:val="auto"/>
        </w:rPr>
      </w:pPr>
      <w:r>
        <w:rPr>
          <w:rFonts w:ascii="Arial" w:cs="Arial" w:eastAsia="Arial" w:hAnsi="Arial"/>
          <w:sz w:val="19"/>
          <w:szCs w:val="19"/>
          <w:color w:val="auto"/>
        </w:rPr>
        <w:t>If Comcast Corporation transfers part of its assets to another entity owned directly or indirectly by the shareholders of Comcast Corporation (or any substantial portion of them), or transfers stock or other interests in a subsidiary of Comcast Corporation directly or indirectly to the shareholders of Comcast Corporation (or any substantial portion of them), and Employee works for the portion of the Company or subsidiary so transferred, then the successor or continuing employer entity shall be deemed the successor to the Company hereunder, the term “Company” as used herein shall mean such entity (together with its subsidiaries) as is appropriate, and this Agreement shall continue in full force and effect.</w:t>
      </w:r>
    </w:p>
    <w:p>
      <w:pPr>
        <w:sectPr>
          <w:pgSz w:w="11900" w:h="16838" w:orient="portrait"/>
          <w:cols w:equalWidth="0" w:num="1">
            <w:col w:w="11420"/>
          </w:cols>
          <w:pgMar w:left="240" w:top="807" w:right="239" w:bottom="1440" w:gutter="0" w:footer="0" w:header="0"/>
        </w:sectPr>
      </w:pPr>
    </w:p>
    <w:bookmarkStart w:id="79" w:name="page80"/>
    <w:bookmarkEnd w:id="79"/>
    <w:p>
      <w:pPr>
        <w:ind w:left="-188" w:right="100" w:firstLine="656"/>
        <w:spacing w:after="0" w:line="249" w:lineRule="auto"/>
        <w:tabs>
          <w:tab w:leader="none" w:pos="910" w:val="left"/>
        </w:tabs>
        <w:numPr>
          <w:ilvl w:val="1"/>
          <w:numId w:val="51"/>
        </w:numPr>
        <w:rPr>
          <w:rFonts w:ascii="Arial" w:cs="Arial" w:eastAsia="Arial" w:hAnsi="Arial"/>
          <w:sz w:val="22"/>
          <w:szCs w:val="22"/>
          <w:color w:val="auto"/>
        </w:rPr>
      </w:pPr>
      <w:r>
        <w:rPr>
          <w:rFonts w:ascii="Arial" w:cs="Arial" w:eastAsia="Arial" w:hAnsi="Arial"/>
          <w:sz w:val="22"/>
          <w:szCs w:val="22"/>
          <w:b w:val="1"/>
          <w:bCs w:val="1"/>
          <w:u w:val="single" w:color="auto"/>
          <w:color w:val="auto"/>
        </w:rPr>
        <w:t>WAIVER OF RIGHT TO TRIAL BY JURY</w:t>
      </w:r>
      <w:r>
        <w:rPr>
          <w:rFonts w:ascii="Arial" w:cs="Arial" w:eastAsia="Arial" w:hAnsi="Arial"/>
          <w:sz w:val="22"/>
          <w:szCs w:val="22"/>
          <w:b w:val="1"/>
          <w:bCs w:val="1"/>
          <w:color w:val="auto"/>
        </w:rPr>
        <w:t>. TO THE EXTENT PERMITTED BY APPLICABLE LAW, THE COMPANY AND EMPLOYEE HEREBY KNOWINGLY, VOLUNTARILY AND INTENTIONALLY WAIVE ANY RIGHT EITHER THEY OR THEIR HEIRS, EXECUTORS, ADMINISTRATORS, PERSONAL REPRESENTATIVES, SUCCESSORS OR ASSIGNS MAY HAVE TO A TRIAL BY JURY IN ANY LITIGATION BASED ON OR RELATING TO THIS AGREEMENT. BY WAIVING THE RIGHT TO A JURY TRIAL, NEITHER PARTY IS WAIVING A RIGHT TO SUE THE OTHER; RATHER, THE PARTIES ARE SIMPLY WAIVING THE RIGHT TO HAVE A JURY DECIDE THE CASE.</w:t>
      </w:r>
    </w:p>
    <w:p>
      <w:pPr>
        <w:spacing w:after="0" w:line="229" w:lineRule="exact"/>
        <w:rPr>
          <w:rFonts w:ascii="Arial" w:cs="Arial" w:eastAsia="Arial" w:hAnsi="Arial"/>
          <w:sz w:val="22"/>
          <w:szCs w:val="22"/>
          <w:color w:val="auto"/>
        </w:rPr>
      </w:pPr>
    </w:p>
    <w:p>
      <w:pPr>
        <w:ind w:left="-188" w:right="80" w:firstLine="656"/>
        <w:spacing w:after="0" w:line="249" w:lineRule="auto"/>
        <w:tabs>
          <w:tab w:leader="none" w:pos="910" w:val="left"/>
        </w:tabs>
        <w:numPr>
          <w:ilvl w:val="1"/>
          <w:numId w:val="51"/>
        </w:numPr>
        <w:rPr>
          <w:rFonts w:ascii="Arial" w:cs="Arial" w:eastAsia="Arial" w:hAnsi="Arial"/>
          <w:sz w:val="22"/>
          <w:szCs w:val="22"/>
          <w:color w:val="auto"/>
        </w:rPr>
      </w:pPr>
      <w:r>
        <w:rPr>
          <w:rFonts w:ascii="Arial" w:cs="Arial" w:eastAsia="Arial" w:hAnsi="Arial"/>
          <w:sz w:val="22"/>
          <w:szCs w:val="22"/>
          <w:b w:val="1"/>
          <w:bCs w:val="1"/>
          <w:u w:val="single" w:color="auto"/>
          <w:color w:val="auto"/>
        </w:rPr>
        <w:t>LIMITATION ON DAMAGES</w:t>
      </w:r>
      <w:r>
        <w:rPr>
          <w:rFonts w:ascii="Arial" w:cs="Arial" w:eastAsia="Arial" w:hAnsi="Arial"/>
          <w:sz w:val="22"/>
          <w:szCs w:val="22"/>
          <w:b w:val="1"/>
          <w:bCs w:val="1"/>
          <w:color w:val="auto"/>
        </w:rPr>
        <w:t>. EMPLOYEE AGREES THAT, UNLESS PROHIBITED BY APPLICABLE LAW, AND EXCEPT AS EXPRESSLY AVAILABLE IN AN APPLICABLE FEDERAL, STATE OR LOCAL STATUTE OR ORDINANCE, EMPLOYEE’S REMEDY FOR BREACH OF THIS AGREEMENT OR ANY OTHER CLAIM OR CAUSE OF ACTION ARISING OUT OF EMPLOYEE’S EMPLOYMENT SHALL BE LIMITED TO ACTUAL ECONOMIC DAMAGES, AND EMPLOYEE SHALL NOT BE PERMITTED TO MAKE ANY CLAIM FOR OR RECOVER PUNITIVE, EXEMPLARY, COMPENSATORY (OTHER THAN BASED ON ACTUAL ECONOMIC LOSS), EMOTIONAL DISTRESS, OR SPECIAL DAMAGES.</w:t>
      </w:r>
    </w:p>
    <w:p>
      <w:pPr>
        <w:spacing w:after="0" w:line="194" w:lineRule="exact"/>
        <w:rPr>
          <w:rFonts w:ascii="Arial" w:cs="Arial" w:eastAsia="Arial" w:hAnsi="Arial"/>
          <w:sz w:val="22"/>
          <w:szCs w:val="22"/>
          <w:color w:val="auto"/>
        </w:rPr>
      </w:pPr>
    </w:p>
    <w:p>
      <w:pPr>
        <w:ind w:left="-188" w:right="20" w:firstLine="188"/>
        <w:spacing w:after="0" w:line="260" w:lineRule="auto"/>
        <w:tabs>
          <w:tab w:leader="none" w:pos="442"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Jurisdiction; Costs</w:t>
      </w:r>
      <w:r>
        <w:rPr>
          <w:rFonts w:ascii="Arial" w:cs="Arial" w:eastAsia="Arial" w:hAnsi="Arial"/>
          <w:sz w:val="21"/>
          <w:szCs w:val="21"/>
          <w:color w:val="auto"/>
        </w:rPr>
        <w:t>. Litigation concerning this Agreement, if initiated by or on behalf of Employee, shall be brought only in a state court in Philadelphia County, Pennsylvania or federal court in the Eastern District of Pennsylvania, or, if initiated by the Company, in either such jurisdiction or (if different) in a jurisdiction in which Employee then resides or works. Employee consents to jurisdiction in any such jurisdiction, regardless of the location of Employee’s residence or place of business. Employee and the Company irrevocably waive any objection, including any objection to the laying of venue or based on the grounds of forum non conveniens, which Employee or the Company may now or hereafter have, to the bringing of any action or proceeding in any such jurisdiction. Employee and the Company acknowledge and agree that any service of legal process by mail constitutes proper legal service of process under applicable law in any such action or proceeding. In any such litigation, the prevailing party shall be entitled to reimbursement from the other party for all costs of defending or maintaining such action, including reasonable attorneys’ fees.</w:t>
      </w:r>
    </w:p>
    <w:p>
      <w:pPr>
        <w:spacing w:after="0" w:line="179" w:lineRule="exact"/>
        <w:rPr>
          <w:rFonts w:ascii="Arial" w:cs="Arial" w:eastAsia="Arial" w:hAnsi="Arial"/>
          <w:sz w:val="21"/>
          <w:szCs w:val="21"/>
          <w:color w:val="auto"/>
        </w:rPr>
      </w:pPr>
    </w:p>
    <w:p>
      <w:pPr>
        <w:ind w:left="-188" w:right="1080" w:firstLine="188"/>
        <w:spacing w:after="0" w:line="276" w:lineRule="auto"/>
        <w:tabs>
          <w:tab w:leader="none" w:pos="442"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interpreted and enforced in accordance with the substantive law of the Commonwealth of Pennsylvania, without regard to any choice-of-law doctrines.</w:t>
      </w:r>
    </w:p>
    <w:p>
      <w:pPr>
        <w:spacing w:after="0" w:line="160" w:lineRule="exact"/>
        <w:rPr>
          <w:rFonts w:ascii="Arial" w:cs="Arial" w:eastAsia="Arial" w:hAnsi="Arial"/>
          <w:sz w:val="22"/>
          <w:szCs w:val="22"/>
          <w:color w:val="auto"/>
        </w:rPr>
      </w:pPr>
    </w:p>
    <w:p>
      <w:pPr>
        <w:ind w:left="-188" w:firstLine="656"/>
        <w:spacing w:after="0" w:line="260" w:lineRule="auto"/>
        <w:tabs>
          <w:tab w:leader="none" w:pos="910" w:val="left"/>
        </w:tabs>
        <w:numPr>
          <w:ilvl w:val="1"/>
          <w:numId w:val="52"/>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required or permitted to be given under this Agreement shall be in writing and shall be given: (a) by electronic mail or (b) by registered or certified first class mail (postage prepaid, return receipt requested) to the respective parties at the following addresses:</w:t>
      </w:r>
    </w:p>
    <w:p>
      <w:pPr>
        <w:spacing w:after="0" w:line="177" w:lineRule="exact"/>
        <w:rPr>
          <w:sz w:val="20"/>
          <w:szCs w:val="20"/>
          <w:color w:val="auto"/>
        </w:rPr>
      </w:pPr>
    </w:p>
    <w:p>
      <w:pPr>
        <w:ind w:left="472"/>
        <w:spacing w:after="0"/>
        <w:rPr>
          <w:sz w:val="20"/>
          <w:szCs w:val="20"/>
          <w:color w:val="auto"/>
        </w:rPr>
      </w:pPr>
      <w:r>
        <w:rPr>
          <w:rFonts w:ascii="Arial" w:cs="Arial" w:eastAsia="Arial" w:hAnsi="Arial"/>
          <w:sz w:val="22"/>
          <w:szCs w:val="22"/>
          <w:color w:val="auto"/>
        </w:rPr>
        <w:t>if to the Company:</w:t>
      </w:r>
    </w:p>
    <w:p>
      <w:pPr>
        <w:spacing w:after="0" w:line="220" w:lineRule="exact"/>
        <w:rPr>
          <w:sz w:val="20"/>
          <w:szCs w:val="20"/>
          <w:color w:val="auto"/>
        </w:rPr>
      </w:pPr>
    </w:p>
    <w:p>
      <w:pPr>
        <w:ind w:left="472"/>
        <w:spacing w:after="0"/>
        <w:rPr>
          <w:sz w:val="20"/>
          <w:szCs w:val="20"/>
          <w:color w:val="auto"/>
        </w:rPr>
      </w:pPr>
      <w:r>
        <w:rPr>
          <w:rFonts w:ascii="Arial" w:cs="Arial" w:eastAsia="Arial" w:hAnsi="Arial"/>
          <w:sz w:val="22"/>
          <w:szCs w:val="22"/>
          <w:color w:val="auto"/>
        </w:rPr>
        <w:t>Comcast Corporation</w:t>
      </w:r>
    </w:p>
    <w:p>
      <w:pPr>
        <w:spacing w:after="0" w:line="22" w:lineRule="exact"/>
        <w:rPr>
          <w:sz w:val="20"/>
          <w:szCs w:val="20"/>
          <w:color w:val="auto"/>
        </w:rPr>
      </w:pPr>
    </w:p>
    <w:p>
      <w:pPr>
        <w:ind w:left="1112"/>
        <w:spacing w:after="0"/>
        <w:rPr>
          <w:sz w:val="20"/>
          <w:szCs w:val="20"/>
          <w:color w:val="auto"/>
        </w:rPr>
      </w:pPr>
      <w:r>
        <w:rPr>
          <w:rFonts w:ascii="Arial" w:cs="Arial" w:eastAsia="Arial" w:hAnsi="Arial"/>
          <w:sz w:val="22"/>
          <w:szCs w:val="22"/>
          <w:color w:val="auto"/>
        </w:rPr>
        <w:t>One Comcast Center</w:t>
      </w:r>
    </w:p>
    <w:p>
      <w:pPr>
        <w:spacing w:after="0" w:line="4" w:lineRule="exact"/>
        <w:rPr>
          <w:sz w:val="20"/>
          <w:szCs w:val="20"/>
          <w:color w:val="auto"/>
        </w:rPr>
      </w:pPr>
    </w:p>
    <w:p>
      <w:pPr>
        <w:ind w:left="1112"/>
        <w:spacing w:after="0"/>
        <w:rPr>
          <w:sz w:val="20"/>
          <w:szCs w:val="20"/>
          <w:color w:val="auto"/>
        </w:rPr>
      </w:pPr>
      <w:r>
        <w:rPr>
          <w:rFonts w:ascii="Arial" w:cs="Arial" w:eastAsia="Arial" w:hAnsi="Arial"/>
          <w:sz w:val="22"/>
          <w:szCs w:val="22"/>
          <w:color w:val="auto"/>
        </w:rPr>
        <w:t>Philadelphia, PA 19103</w:t>
      </w:r>
    </w:p>
    <w:p>
      <w:pPr>
        <w:spacing w:after="0" w:line="4" w:lineRule="exact"/>
        <w:rPr>
          <w:sz w:val="20"/>
          <w:szCs w:val="20"/>
          <w:color w:val="auto"/>
        </w:rPr>
      </w:pPr>
    </w:p>
    <w:p>
      <w:pPr>
        <w:ind w:left="1112"/>
        <w:spacing w:after="0"/>
        <w:rPr>
          <w:sz w:val="20"/>
          <w:szCs w:val="20"/>
          <w:color w:val="auto"/>
        </w:rPr>
      </w:pPr>
      <w:r>
        <w:rPr>
          <w:rFonts w:ascii="Arial" w:cs="Arial" w:eastAsia="Arial" w:hAnsi="Arial"/>
          <w:sz w:val="22"/>
          <w:szCs w:val="22"/>
          <w:color w:val="auto"/>
        </w:rPr>
        <w:t>Attention: General Counsel</w:t>
      </w:r>
    </w:p>
    <w:p>
      <w:pPr>
        <w:spacing w:after="0" w:line="4" w:lineRule="exact"/>
        <w:rPr>
          <w:sz w:val="20"/>
          <w:szCs w:val="20"/>
          <w:color w:val="auto"/>
        </w:rPr>
      </w:pPr>
    </w:p>
    <w:p>
      <w:pPr>
        <w:ind w:left="1112"/>
        <w:spacing w:after="0"/>
        <w:rPr>
          <w:sz w:val="20"/>
          <w:szCs w:val="20"/>
          <w:color w:val="auto"/>
        </w:rPr>
      </w:pPr>
      <w:r>
        <w:rPr>
          <w:rFonts w:ascii="Arial" w:cs="Arial" w:eastAsia="Arial" w:hAnsi="Arial"/>
          <w:sz w:val="22"/>
          <w:szCs w:val="22"/>
          <w:color w:val="auto"/>
        </w:rPr>
        <w:t>Email: corporate_legal@comcast.com</w:t>
      </w:r>
    </w:p>
    <w:p>
      <w:pPr>
        <w:spacing w:after="0" w:line="202" w:lineRule="exact"/>
        <w:rPr>
          <w:sz w:val="20"/>
          <w:szCs w:val="20"/>
          <w:color w:val="auto"/>
        </w:rPr>
      </w:pPr>
    </w:p>
    <w:p>
      <w:pPr>
        <w:ind w:left="1112"/>
        <w:spacing w:after="0"/>
        <w:rPr>
          <w:sz w:val="20"/>
          <w:szCs w:val="20"/>
          <w:color w:val="auto"/>
        </w:rPr>
      </w:pPr>
      <w:r>
        <w:rPr>
          <w:rFonts w:ascii="Arial" w:cs="Arial" w:eastAsia="Arial" w:hAnsi="Arial"/>
          <w:sz w:val="22"/>
          <w:szCs w:val="22"/>
          <w:color w:val="auto"/>
        </w:rPr>
        <w:t>if to Employee:</w:t>
      </w:r>
    </w:p>
    <w:p>
      <w:pPr>
        <w:sectPr>
          <w:pgSz w:w="11900" w:h="16838" w:orient="portrait"/>
          <w:cols w:equalWidth="0" w:num="1">
            <w:col w:w="11232"/>
          </w:cols>
          <w:pgMar w:left="428" w:top="801" w:right="239" w:bottom="1440" w:gutter="0" w:footer="0" w:header="0"/>
        </w:sectPr>
      </w:pPr>
    </w:p>
    <w:bookmarkStart w:id="80" w:name="page81"/>
    <w:bookmarkEnd w:id="80"/>
    <w:p>
      <w:pPr>
        <w:ind w:left="1300"/>
        <w:spacing w:after="0"/>
        <w:rPr>
          <w:sz w:val="20"/>
          <w:szCs w:val="20"/>
          <w:color w:val="auto"/>
        </w:rPr>
      </w:pPr>
      <w:r>
        <w:rPr>
          <w:rFonts w:ascii="Arial" w:cs="Arial" w:eastAsia="Arial" w:hAnsi="Arial"/>
          <w:sz w:val="19"/>
          <w:szCs w:val="19"/>
          <w:color w:val="auto"/>
        </w:rPr>
        <w:t>Employee’s residence address and personal e-mail address as most recently indicated in the Company’s records.</w:t>
      </w:r>
    </w:p>
    <w:p>
      <w:pPr>
        <w:spacing w:after="0" w:line="295" w:lineRule="exact"/>
        <w:rPr>
          <w:sz w:val="20"/>
          <w:szCs w:val="20"/>
          <w:color w:val="auto"/>
        </w:rPr>
      </w:pPr>
    </w:p>
    <w:p>
      <w:pPr>
        <w:ind w:right="60" w:firstLine="656"/>
        <w:spacing w:after="0" w:line="300" w:lineRule="auto"/>
        <w:tabs>
          <w:tab w:leader="none" w:pos="1098" w:val="left"/>
        </w:tabs>
        <w:numPr>
          <w:ilvl w:val="1"/>
          <w:numId w:val="53"/>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(including Schedules 1 and 2 hereto) constitutes the entire agreement of the parties with respect to the subject matter hereof, and supersedes and replaces in its entirety the Employment Agreement dated as of April 1, 2017 between the parties, provided that any accrued rights and obligations of the parties thereunder as of the date hereof shall be unaffected by the execution of this Agreement. In the event of any conflict between the terms of this Agreement and the terms of any plans or policies of the Company (including the Employee Handbook), the terms of this Agreement shall control.</w:t>
      </w:r>
    </w:p>
    <w:p>
      <w:pPr>
        <w:spacing w:after="0" w:line="147" w:lineRule="exact"/>
        <w:rPr>
          <w:rFonts w:ascii="Arial" w:cs="Arial" w:eastAsia="Arial" w:hAnsi="Arial"/>
          <w:sz w:val="19"/>
          <w:szCs w:val="19"/>
          <w:color w:val="auto"/>
        </w:rPr>
      </w:pPr>
    </w:p>
    <w:p>
      <w:pPr>
        <w:ind w:right="20" w:firstLine="656"/>
        <w:spacing w:after="0" w:line="254" w:lineRule="auto"/>
        <w:tabs>
          <w:tab w:leader="none" w:pos="1098" w:val="left"/>
        </w:tabs>
        <w:numPr>
          <w:ilvl w:val="1"/>
          <w:numId w:val="53"/>
        </w:numPr>
        <w:rPr>
          <w:rFonts w:ascii="Arial" w:cs="Arial" w:eastAsia="Arial" w:hAnsi="Arial"/>
          <w:sz w:val="22"/>
          <w:szCs w:val="22"/>
          <w:color w:val="auto"/>
        </w:rPr>
      </w:pPr>
      <w:r>
        <w:rPr>
          <w:rFonts w:ascii="Arial" w:cs="Arial" w:eastAsia="Arial" w:hAnsi="Arial"/>
          <w:sz w:val="22"/>
          <w:szCs w:val="22"/>
          <w:u w:val="single" w:color="auto"/>
          <w:color w:val="auto"/>
        </w:rPr>
        <w:t>Invalidity or Unenforceability</w:t>
      </w:r>
      <w:r>
        <w:rPr>
          <w:rFonts w:ascii="Arial" w:cs="Arial" w:eastAsia="Arial" w:hAnsi="Arial"/>
          <w:sz w:val="22"/>
          <w:szCs w:val="22"/>
          <w:color w:val="auto"/>
        </w:rPr>
        <w:t>. If any term or provision of this Agreement is held to be invalid or unenforceable for any reason, such invalidity or unenforceability shall not affect any other term or provision hereof and this Agreement shall continue in full force and effect as if such invalid or unenforceable term or provision (to the extent of the invalidity or unenforceability) had not been contained herein.</w:t>
      </w:r>
    </w:p>
    <w:p>
      <w:pPr>
        <w:spacing w:after="0" w:line="185" w:lineRule="exact"/>
        <w:rPr>
          <w:rFonts w:ascii="Arial" w:cs="Arial" w:eastAsia="Arial" w:hAnsi="Arial"/>
          <w:sz w:val="22"/>
          <w:szCs w:val="22"/>
          <w:color w:val="auto"/>
        </w:rPr>
      </w:pPr>
    </w:p>
    <w:p>
      <w:pPr>
        <w:ind w:right="140" w:firstLine="836"/>
        <w:spacing w:after="0" w:line="251" w:lineRule="auto"/>
        <w:tabs>
          <w:tab w:leader="none" w:pos="1278" w:val="left"/>
        </w:tabs>
        <w:numPr>
          <w:ilvl w:val="2"/>
          <w:numId w:val="53"/>
        </w:numPr>
        <w:rPr>
          <w:rFonts w:ascii="Arial" w:cs="Arial" w:eastAsia="Arial" w:hAnsi="Arial"/>
          <w:sz w:val="22"/>
          <w:szCs w:val="22"/>
          <w:color w:val="auto"/>
        </w:rPr>
      </w:pPr>
      <w:r>
        <w:rPr>
          <w:rFonts w:ascii="Arial" w:cs="Arial" w:eastAsia="Arial" w:hAnsi="Arial"/>
          <w:sz w:val="22"/>
          <w:szCs w:val="22"/>
          <w:u w:val="single" w:color="auto"/>
          <w:color w:val="auto"/>
        </w:rPr>
        <w:t>Amendments and Waivers</w:t>
      </w:r>
      <w:r>
        <w:rPr>
          <w:rFonts w:ascii="Arial" w:cs="Arial" w:eastAsia="Arial" w:hAnsi="Arial"/>
          <w:sz w:val="22"/>
          <w:szCs w:val="22"/>
          <w:color w:val="auto"/>
        </w:rPr>
        <w:t>. No amendment or waiver of this Agreement or any provision hereof shall be binding upon the party against whom enforcement of such amendment or waiver is sought unless it is made in writing and signed by or on behalf of such party. The waiver by either party of a breach of any provision of this Agreement by the other party shall not operate or be construed as a waiver or a continuing waiver by that party of the same or any subsequent breach of any provision of this Agreement by the other party.</w:t>
      </w:r>
    </w:p>
    <w:p>
      <w:pPr>
        <w:spacing w:after="0" w:line="189" w:lineRule="exact"/>
        <w:rPr>
          <w:rFonts w:ascii="Arial" w:cs="Arial" w:eastAsia="Arial" w:hAnsi="Arial"/>
          <w:sz w:val="22"/>
          <w:szCs w:val="22"/>
          <w:color w:val="auto"/>
        </w:rPr>
      </w:pPr>
    </w:p>
    <w:p>
      <w:pPr>
        <w:ind w:firstLine="368"/>
        <w:spacing w:after="0" w:line="260" w:lineRule="auto"/>
        <w:tabs>
          <w:tab w:leader="none" w:pos="810"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Binding Effect; No Assignment</w:t>
      </w:r>
      <w:r>
        <w:rPr>
          <w:rFonts w:ascii="Arial" w:cs="Arial" w:eastAsia="Arial" w:hAnsi="Arial"/>
          <w:sz w:val="22"/>
          <w:szCs w:val="22"/>
          <w:color w:val="auto"/>
        </w:rPr>
        <w:t>. This Agreement shall be binding on and inure to the benefit of the parties hereto and their respective heirs, executors, administrators, successors and assigns, except that (other than to effect the provisions of Paragraph 14) it may not be assigned by either party without the other party’s written consent.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WITNESS WHEREOF, the parties hereto have executed and delivered this Agreement as of the date first-above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written.</w:t>
      </w:r>
    </w:p>
    <w:p>
      <w:pPr>
        <w:spacing w:after="0" w:line="202" w:lineRule="exact"/>
        <w:rPr>
          <w:sz w:val="20"/>
          <w:szCs w:val="20"/>
          <w:color w:val="auto"/>
        </w:rPr>
      </w:pPr>
    </w:p>
    <w:p>
      <w:pPr>
        <w:jc w:val="center"/>
        <w:ind w:right="2900"/>
        <w:spacing w:after="0"/>
        <w:rPr>
          <w:sz w:val="20"/>
          <w:szCs w:val="20"/>
          <w:color w:val="auto"/>
        </w:rPr>
      </w:pPr>
      <w:r>
        <w:rPr>
          <w:rFonts w:ascii="Arial" w:cs="Arial" w:eastAsia="Arial" w:hAnsi="Arial"/>
          <w:sz w:val="22"/>
          <w:szCs w:val="22"/>
          <w:color w:val="auto"/>
        </w:rPr>
        <w:t>COMCAST CORPORATION</w:t>
      </w:r>
    </w:p>
    <w:p>
      <w:pPr>
        <w:spacing w:after="0" w:line="23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Arthur R. Block</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Date: April 2, 2018</w:t>
      </w:r>
    </w:p>
    <w:p>
      <w:pPr>
        <w:spacing w:after="0" w:line="200" w:lineRule="exact"/>
        <w:rPr>
          <w:sz w:val="20"/>
          <w:szCs w:val="20"/>
          <w:color w:val="auto"/>
        </w:rPr>
      </w:pPr>
    </w:p>
    <w:p>
      <w:pPr>
        <w:spacing w:after="0" w:line="231"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EMPLOYEE:</w:t>
      </w:r>
    </w:p>
    <w:p>
      <w:pPr>
        <w:spacing w:after="0" w:line="233" w:lineRule="exact"/>
        <w:rPr>
          <w:sz w:val="20"/>
          <w:szCs w:val="20"/>
          <w:color w:val="auto"/>
        </w:rPr>
      </w:pPr>
    </w:p>
    <w:p>
      <w:pPr>
        <w:ind w:left="3900"/>
        <w:spacing w:after="0"/>
        <w:rPr>
          <w:sz w:val="20"/>
          <w:szCs w:val="20"/>
          <w:color w:val="auto"/>
        </w:rPr>
      </w:pPr>
      <w:r>
        <w:rPr>
          <w:rFonts w:ascii="Arial" w:cs="Arial" w:eastAsia="Arial" w:hAnsi="Arial"/>
          <w:sz w:val="22"/>
          <w:szCs w:val="22"/>
          <w:u w:val="single" w:color="auto"/>
          <w:color w:val="auto"/>
        </w:rPr>
        <w:t>/s/ David N. Watson</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David N. Watson</w:t>
      </w:r>
    </w:p>
    <w:p>
      <w:pPr>
        <w:spacing w:after="0" w:line="202"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Date: April 2, 2018</w:t>
      </w:r>
    </w:p>
    <w:p>
      <w:pPr>
        <w:sectPr>
          <w:pgSz w:w="11900" w:h="16838" w:orient="portrait"/>
          <w:cols w:equalWidth="0" w:num="1">
            <w:col w:w="11420"/>
          </w:cols>
          <w:pgMar w:left="240" w:top="807" w:right="239" w:bottom="1440" w:gutter="0" w:footer="0" w:header="0"/>
        </w:sectPr>
      </w:pPr>
    </w:p>
    <w:bookmarkStart w:id="81" w:name="page82"/>
    <w:bookmarkEnd w:id="81"/>
    <w:p>
      <w:pPr>
        <w:jc w:val="center"/>
        <w:ind w:right="-91"/>
        <w:spacing w:after="0"/>
        <w:rPr>
          <w:sz w:val="20"/>
          <w:szCs w:val="20"/>
          <w:color w:val="auto"/>
        </w:rPr>
      </w:pPr>
      <w:r>
        <w:rPr>
          <w:rFonts w:ascii="Arial" w:cs="Arial" w:eastAsia="Arial" w:hAnsi="Arial"/>
          <w:sz w:val="22"/>
          <w:szCs w:val="22"/>
          <w:u w:val="single" w:color="auto"/>
          <w:color w:val="auto"/>
        </w:rPr>
        <w:t>SCHEDULE 1 TO EMPLOYMENT AGREEMENT WITH DAVID N. WATSON</w:t>
      </w:r>
    </w:p>
    <w:p>
      <w:pPr>
        <w:spacing w:after="0" w:line="220" w:lineRule="exact"/>
        <w:rPr>
          <w:sz w:val="20"/>
          <w:szCs w:val="20"/>
          <w:color w:val="auto"/>
        </w:rPr>
      </w:pPr>
    </w:p>
    <w:p>
      <w:pPr>
        <w:ind w:left="1292" w:right="4980" w:hanging="1292"/>
        <w:spacing w:after="0" w:line="358" w:lineRule="auto"/>
        <w:tabs>
          <w:tab w:leader="none" w:pos="338" w:val="left"/>
        </w:tabs>
        <w:numPr>
          <w:ilvl w:val="0"/>
          <w:numId w:val="55"/>
        </w:numPr>
        <w:rPr>
          <w:rFonts w:ascii="Arial" w:cs="Arial" w:eastAsia="Arial" w:hAnsi="Arial"/>
          <w:sz w:val="19"/>
          <w:szCs w:val="19"/>
          <w:color w:val="auto"/>
        </w:rPr>
      </w:pPr>
      <w:r>
        <w:rPr>
          <w:rFonts w:ascii="Arial" w:cs="Arial" w:eastAsia="Arial" w:hAnsi="Arial"/>
          <w:sz w:val="19"/>
          <w:szCs w:val="19"/>
          <w:color w:val="auto"/>
        </w:rPr>
        <w:t>Position: Senior Executive Vice President, Comcast Corporation; and Chief Executive Officer and President, Comcast Cable.</w:t>
      </w:r>
    </w:p>
    <w:p>
      <w:pPr>
        <w:spacing w:after="0" w:line="90" w:lineRule="exact"/>
        <w:rPr>
          <w:rFonts w:ascii="Arial" w:cs="Arial" w:eastAsia="Arial" w:hAnsi="Arial"/>
          <w:sz w:val="19"/>
          <w:szCs w:val="19"/>
          <w:color w:val="auto"/>
        </w:rPr>
      </w:pPr>
    </w:p>
    <w:p>
      <w:pPr>
        <w:ind w:left="352" w:hanging="352"/>
        <w:spacing w:after="0"/>
        <w:tabs>
          <w:tab w:leader="none" w:pos="352" w:val="left"/>
        </w:tabs>
        <w:numPr>
          <w:ilvl w:val="0"/>
          <w:numId w:val="55"/>
        </w:numPr>
        <w:rPr>
          <w:rFonts w:ascii="Arial" w:cs="Arial" w:eastAsia="Arial" w:hAnsi="Arial"/>
          <w:sz w:val="22"/>
          <w:szCs w:val="22"/>
          <w:color w:val="auto"/>
        </w:rPr>
      </w:pPr>
      <w:r>
        <w:rPr>
          <w:rFonts w:ascii="Arial" w:cs="Arial" w:eastAsia="Arial" w:hAnsi="Arial"/>
          <w:sz w:val="22"/>
          <w:szCs w:val="22"/>
          <w:color w:val="auto"/>
        </w:rPr>
        <w:t>Base Salary: $1,574,481</w:t>
      </w:r>
    </w:p>
    <w:p>
      <w:pPr>
        <w:spacing w:after="0" w:line="233" w:lineRule="exact"/>
        <w:rPr>
          <w:rFonts w:ascii="Arial" w:cs="Arial" w:eastAsia="Arial" w:hAnsi="Arial"/>
          <w:sz w:val="22"/>
          <w:szCs w:val="22"/>
          <w:color w:val="auto"/>
        </w:rPr>
      </w:pPr>
    </w:p>
    <w:p>
      <w:pPr>
        <w:ind w:left="652" w:hanging="652"/>
        <w:spacing w:after="0"/>
        <w:tabs>
          <w:tab w:leader="none" w:pos="652" w:val="left"/>
        </w:tabs>
        <w:numPr>
          <w:ilvl w:val="0"/>
          <w:numId w:val="55"/>
        </w:numPr>
        <w:rPr>
          <w:rFonts w:ascii="Arial" w:cs="Arial" w:eastAsia="Arial" w:hAnsi="Arial"/>
          <w:sz w:val="19"/>
          <w:szCs w:val="19"/>
          <w:color w:val="auto"/>
        </w:rPr>
      </w:pPr>
      <w:r>
        <w:rPr>
          <w:rFonts w:ascii="Arial" w:cs="Arial" w:eastAsia="Arial" w:hAnsi="Arial"/>
          <w:sz w:val="19"/>
          <w:szCs w:val="19"/>
          <w:color w:val="auto"/>
        </w:rPr>
        <w:t>Cash Bonus. Target bonus potential under the Cash Bonus Plan: from January 1 to February 28, 2018: 200%; and from</w:t>
      </w:r>
    </w:p>
    <w:p>
      <w:pPr>
        <w:spacing w:after="0" w:line="56" w:lineRule="exact"/>
        <w:rPr>
          <w:rFonts w:ascii="Arial" w:cs="Arial" w:eastAsia="Arial" w:hAnsi="Arial"/>
          <w:sz w:val="19"/>
          <w:szCs w:val="19"/>
          <w:color w:val="auto"/>
        </w:rPr>
      </w:pPr>
    </w:p>
    <w:p>
      <w:pPr>
        <w:ind w:left="652"/>
        <w:spacing w:after="0" w:line="246" w:lineRule="auto"/>
        <w:rPr>
          <w:rFonts w:ascii="Arial" w:cs="Arial" w:eastAsia="Arial" w:hAnsi="Arial"/>
          <w:sz w:val="19"/>
          <w:szCs w:val="19"/>
          <w:color w:val="auto"/>
        </w:rPr>
      </w:pPr>
      <w:r>
        <w:rPr>
          <w:rFonts w:ascii="Arial" w:cs="Arial" w:eastAsia="Arial" w:hAnsi="Arial"/>
          <w:sz w:val="22"/>
          <w:szCs w:val="22"/>
          <w:color w:val="auto"/>
        </w:rPr>
        <w:t>March 1, 2018 to December 31, 2018: 250%; in each case of eligible earnings (</w:t>
      </w:r>
      <w:r>
        <w:rPr>
          <w:rFonts w:ascii="Arial" w:cs="Arial" w:eastAsia="Arial" w:hAnsi="Arial"/>
          <w:sz w:val="22"/>
          <w:szCs w:val="22"/>
          <w:u w:val="single" w:color="auto"/>
          <w:color w:val="auto"/>
        </w:rPr>
        <w:t>i.e.</w:t>
      </w:r>
      <w:r>
        <w:rPr>
          <w:rFonts w:ascii="Arial" w:cs="Arial" w:eastAsia="Arial" w:hAnsi="Arial"/>
          <w:sz w:val="22"/>
          <w:szCs w:val="22"/>
          <w:color w:val="auto"/>
        </w:rPr>
        <w:t>, the amount of Base Salary actually paid and/or deferred in the applicable period).</w:t>
      </w:r>
    </w:p>
    <w:p>
      <w:pPr>
        <w:spacing w:after="0" w:line="193" w:lineRule="exact"/>
        <w:rPr>
          <w:sz w:val="20"/>
          <w:szCs w:val="20"/>
          <w:color w:val="auto"/>
        </w:rPr>
      </w:pPr>
    </w:p>
    <w:p>
      <w:pPr>
        <w:ind w:left="652" w:right="340" w:hanging="652"/>
        <w:spacing w:after="0" w:line="263" w:lineRule="auto"/>
        <w:tabs>
          <w:tab w:leader="none" w:pos="652" w:val="left"/>
        </w:tabs>
        <w:numPr>
          <w:ilvl w:val="0"/>
          <w:numId w:val="56"/>
        </w:numPr>
        <w:rPr>
          <w:rFonts w:ascii="Arial" w:cs="Arial" w:eastAsia="Arial" w:hAnsi="Arial"/>
          <w:sz w:val="22"/>
          <w:szCs w:val="22"/>
          <w:color w:val="auto"/>
        </w:rPr>
      </w:pPr>
      <w:r>
        <w:rPr>
          <w:rFonts w:ascii="Arial" w:cs="Arial" w:eastAsia="Arial" w:hAnsi="Arial"/>
          <w:sz w:val="22"/>
          <w:szCs w:val="22"/>
          <w:color w:val="auto"/>
        </w:rPr>
        <w:t>Base Salary and Health and Welfare Benefits Continuation Period following Termination Without Cause or Resignation With Good Reason: Twenty-four (24) months.</w:t>
      </w:r>
    </w:p>
    <w:p>
      <w:pPr>
        <w:spacing w:after="0" w:line="174" w:lineRule="exact"/>
        <w:rPr>
          <w:rFonts w:ascii="Arial" w:cs="Arial" w:eastAsia="Arial" w:hAnsi="Arial"/>
          <w:sz w:val="22"/>
          <w:szCs w:val="22"/>
          <w:color w:val="auto"/>
        </w:rPr>
      </w:pPr>
    </w:p>
    <w:p>
      <w:pPr>
        <w:ind w:left="652" w:right="60" w:hanging="652"/>
        <w:spacing w:after="0" w:line="250" w:lineRule="auto"/>
        <w:tabs>
          <w:tab w:leader="none" w:pos="652" w:val="left"/>
        </w:tabs>
        <w:numPr>
          <w:ilvl w:val="0"/>
          <w:numId w:val="56"/>
        </w:numPr>
        <w:rPr>
          <w:rFonts w:ascii="Arial" w:cs="Arial" w:eastAsia="Arial" w:hAnsi="Arial"/>
          <w:sz w:val="22"/>
          <w:szCs w:val="22"/>
          <w:color w:val="auto"/>
        </w:rPr>
      </w:pPr>
      <w:r>
        <w:rPr>
          <w:rFonts w:ascii="Arial" w:cs="Arial" w:eastAsia="Arial" w:hAnsi="Arial"/>
          <w:sz w:val="22"/>
          <w:szCs w:val="22"/>
          <w:color w:val="auto"/>
        </w:rPr>
        <w:t>Restricted Stock and Stock Option Plan Grants Continued Vesting Period following Termination Without Cause or Resignation With Good Reason: Twelve (12) months. Stock Option Plan Grants Continued Exercisability Period following Termination Without Cause or Resignation With Good Reason: the lesser of fifteen (15) months or the end of the stock option’s term.</w:t>
      </w:r>
    </w:p>
    <w:p>
      <w:pPr>
        <w:sectPr>
          <w:pgSz w:w="11900" w:h="16838" w:orient="portrait"/>
          <w:cols w:equalWidth="0" w:num="1">
            <w:col w:w="11332"/>
          </w:cols>
          <w:pgMar w:left="248" w:top="807" w:right="319" w:bottom="1440" w:gutter="0" w:footer="0" w:header="0"/>
        </w:sectPr>
      </w:pPr>
    </w:p>
    <w:bookmarkStart w:id="82" w:name="page83"/>
    <w:bookmarkEnd w:id="82"/>
    <w:p>
      <w:pPr>
        <w:jc w:val="center"/>
        <w:ind w:right="-99"/>
        <w:spacing w:after="0"/>
        <w:rPr>
          <w:sz w:val="20"/>
          <w:szCs w:val="20"/>
          <w:color w:val="auto"/>
        </w:rPr>
      </w:pPr>
      <w:r>
        <w:rPr>
          <w:rFonts w:ascii="Arial" w:cs="Arial" w:eastAsia="Arial" w:hAnsi="Arial"/>
          <w:sz w:val="22"/>
          <w:szCs w:val="22"/>
          <w:u w:val="single" w:color="auto"/>
          <w:color w:val="auto"/>
        </w:rPr>
        <w:t>SCHEDULE 2</w:t>
      </w:r>
    </w:p>
    <w:p>
      <w:pPr>
        <w:spacing w:after="0" w:line="260" w:lineRule="exact"/>
        <w:rPr>
          <w:sz w:val="20"/>
          <w:szCs w:val="20"/>
          <w:color w:val="auto"/>
        </w:rPr>
      </w:pPr>
    </w:p>
    <w:p>
      <w:pPr>
        <w:jc w:val="center"/>
        <w:ind w:right="-99"/>
        <w:spacing w:after="0"/>
        <w:rPr>
          <w:sz w:val="20"/>
          <w:szCs w:val="20"/>
          <w:color w:val="auto"/>
        </w:rPr>
      </w:pPr>
      <w:r>
        <w:rPr>
          <w:rFonts w:ascii="Arial" w:cs="Arial" w:eastAsia="Arial" w:hAnsi="Arial"/>
          <w:sz w:val="22"/>
          <w:szCs w:val="22"/>
          <w:u w:val="single" w:color="auto"/>
          <w:color w:val="auto"/>
        </w:rPr>
        <w:t>LIMITED EXCLUSION NOTIFICATION</w:t>
      </w:r>
    </w:p>
    <w:p>
      <w:pPr>
        <w:spacing w:after="0" w:line="254" w:lineRule="exact"/>
        <w:rPr>
          <w:sz w:val="20"/>
          <w:szCs w:val="20"/>
          <w:color w:val="auto"/>
        </w:rPr>
      </w:pPr>
    </w:p>
    <w:p>
      <w:pPr>
        <w:ind w:right="20"/>
        <w:spacing w:after="0" w:line="252" w:lineRule="auto"/>
        <w:rPr>
          <w:sz w:val="20"/>
          <w:szCs w:val="20"/>
          <w:color w:val="auto"/>
        </w:rPr>
      </w:pPr>
      <w:r>
        <w:rPr>
          <w:rFonts w:ascii="Arial" w:cs="Arial" w:eastAsia="Arial" w:hAnsi="Arial"/>
          <w:sz w:val="22"/>
          <w:szCs w:val="22"/>
          <w:b w:val="1"/>
          <w:bCs w:val="1"/>
          <w:color w:val="auto"/>
        </w:rPr>
        <w:t xml:space="preserve">THIS IS TO NOTIFY </w:t>
      </w:r>
      <w:r>
        <w:rPr>
          <w:rFonts w:ascii="Arial" w:cs="Arial" w:eastAsia="Arial" w:hAnsi="Arial"/>
          <w:sz w:val="22"/>
          <w:szCs w:val="22"/>
          <w:color w:val="auto"/>
        </w:rPr>
        <w:t>Employee in accordance with Section 2872 of the California Labor Code that this Agreement</w:t>
      </w:r>
      <w:r>
        <w:rPr>
          <w:rFonts w:ascii="Arial" w:cs="Arial" w:eastAsia="Arial" w:hAnsi="Arial"/>
          <w:sz w:val="22"/>
          <w:szCs w:val="22"/>
          <w:b w:val="1"/>
          <w:bCs w:val="1"/>
          <w:color w:val="auto"/>
        </w:rPr>
        <w:t xml:space="preserve"> does not </w:t>
      </w:r>
      <w:r>
        <w:rPr>
          <w:rFonts w:ascii="Arial" w:cs="Arial" w:eastAsia="Arial" w:hAnsi="Arial"/>
          <w:sz w:val="22"/>
          <w:szCs w:val="22"/>
          <w:color w:val="auto"/>
        </w:rPr>
        <w:t xml:space="preserve">require Employee to assign or offer to assign to the Company any invention that Employee developed entirely on Employee’s own time </w:t>
      </w:r>
      <w:r>
        <w:rPr>
          <w:rFonts w:ascii="Arial" w:cs="Arial" w:eastAsia="Arial" w:hAnsi="Arial"/>
          <w:sz w:val="22"/>
          <w:szCs w:val="22"/>
          <w:b w:val="1"/>
          <w:bCs w:val="1"/>
          <w:color w:val="auto"/>
        </w:rPr>
        <w:t>without using</w:t>
      </w:r>
      <w:r>
        <w:rPr>
          <w:rFonts w:ascii="Arial" w:cs="Arial" w:eastAsia="Arial" w:hAnsi="Arial"/>
          <w:sz w:val="22"/>
          <w:szCs w:val="22"/>
          <w:color w:val="auto"/>
        </w:rPr>
        <w:t xml:space="preserve"> the Company’s equipment, supplies, facilities or trade secret information </w:t>
      </w:r>
      <w:r>
        <w:rPr>
          <w:rFonts w:ascii="Arial" w:cs="Arial" w:eastAsia="Arial" w:hAnsi="Arial"/>
          <w:sz w:val="22"/>
          <w:szCs w:val="22"/>
          <w:b w:val="1"/>
          <w:bCs w:val="1"/>
          <w:color w:val="auto"/>
        </w:rPr>
        <w:t>except for</w:t>
      </w:r>
      <w:r>
        <w:rPr>
          <w:rFonts w:ascii="Arial" w:cs="Arial" w:eastAsia="Arial" w:hAnsi="Arial"/>
          <w:sz w:val="22"/>
          <w:szCs w:val="22"/>
          <w:color w:val="auto"/>
        </w:rPr>
        <w:t xml:space="preserve"> those inventions that </w:t>
      </w:r>
      <w:r>
        <w:rPr>
          <w:rFonts w:ascii="Arial" w:cs="Arial" w:eastAsia="Arial" w:hAnsi="Arial"/>
          <w:sz w:val="22"/>
          <w:szCs w:val="22"/>
          <w:b w:val="1"/>
          <w:bCs w:val="1"/>
          <w:color w:val="auto"/>
        </w:rPr>
        <w:t>either:</w:t>
      </w:r>
    </w:p>
    <w:p>
      <w:pPr>
        <w:spacing w:after="0" w:line="186" w:lineRule="exact"/>
        <w:rPr>
          <w:sz w:val="20"/>
          <w:szCs w:val="20"/>
          <w:color w:val="auto"/>
        </w:rPr>
      </w:pPr>
    </w:p>
    <w:p>
      <w:pPr>
        <w:ind w:left="980" w:right="880" w:hanging="324"/>
        <w:spacing w:after="0" w:line="263"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22"/>
          <w:szCs w:val="22"/>
          <w:color w:val="auto"/>
        </w:rPr>
        <w:t>Relate at the time of conception or reduction to practice of the invention to the Company’s business, or actual demonstrably anticipated research or development of the Company; or</w:t>
      </w:r>
    </w:p>
    <w:p>
      <w:pPr>
        <w:spacing w:after="0" w:line="174"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22"/>
          <w:szCs w:val="22"/>
          <w:color w:val="auto"/>
        </w:rPr>
        <w:t>Result from any work performed by you for the Company.</w:t>
      </w:r>
    </w:p>
    <w:p>
      <w:pPr>
        <w:spacing w:after="0" w:line="220" w:lineRule="exact"/>
        <w:rPr>
          <w:sz w:val="20"/>
          <w:szCs w:val="20"/>
          <w:color w:val="auto"/>
        </w:rPr>
      </w:pPr>
    </w:p>
    <w:p>
      <w:pPr>
        <w:ind w:right="720"/>
        <w:spacing w:after="0" w:line="343" w:lineRule="auto"/>
        <w:rPr>
          <w:sz w:val="20"/>
          <w:szCs w:val="20"/>
          <w:color w:val="auto"/>
        </w:rPr>
      </w:pPr>
      <w:r>
        <w:rPr>
          <w:rFonts w:ascii="Arial" w:cs="Arial" w:eastAsia="Arial" w:hAnsi="Arial"/>
          <w:sz w:val="19"/>
          <w:szCs w:val="19"/>
          <w:color w:val="auto"/>
        </w:rPr>
        <w:t>To the extent a provision in this Agreement purports to require Employee to assign an invention otherwise excluded by the preceding paragraph, the provision is against the public policy of the State of California and is unenforceable therein.</w:t>
      </w:r>
    </w:p>
    <w:p>
      <w:pPr>
        <w:spacing w:after="0" w:line="10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This limited exclusion does not apply to any patent or invention covered by a contract between the Company and the United States or any of its agencies requiring full title to such patent or invention to be in the United States.</w:t>
      </w:r>
    </w:p>
    <w:p>
      <w:pPr>
        <w:sectPr>
          <w:pgSz w:w="11900" w:h="16838" w:orient="portrait"/>
          <w:cols w:equalWidth="0" w:num="1">
            <w:col w:w="11320"/>
          </w:cols>
          <w:pgMar w:left="240" w:top="807"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10.5</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w:t>
      </w:r>
    </w:p>
    <w:p>
      <w:pPr>
        <w:spacing w:after="0" w:line="200" w:lineRule="exact"/>
        <w:rPr>
          <w:sz w:val="20"/>
          <w:szCs w:val="20"/>
          <w:color w:val="auto"/>
        </w:rPr>
      </w:pPr>
    </w:p>
    <w:p>
      <w:pPr>
        <w:spacing w:after="0" w:line="21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This is a Restricted Stock Unit Award dated _________ from Comcast Corporation (the “Company”) to the Grantee.</w:t>
      </w:r>
    </w:p>
    <w:p>
      <w:pPr>
        <w:spacing w:after="0" w:line="254" w:lineRule="exact"/>
        <w:rPr>
          <w:sz w:val="20"/>
          <w:szCs w:val="20"/>
          <w:color w:val="auto"/>
        </w:rPr>
      </w:pPr>
    </w:p>
    <w:p>
      <w:pPr>
        <w:ind w:left="660" w:right="540" w:firstLine="1293"/>
        <w:spacing w:after="0" w:line="258" w:lineRule="auto"/>
        <w:tabs>
          <w:tab w:leader="none" w:pos="2740" w:val="left"/>
        </w:tabs>
        <w:numPr>
          <w:ilvl w:val="0"/>
          <w:numId w:val="58"/>
        </w:numPr>
        <w:rPr>
          <w:rFonts w:ascii="Arial" w:cs="Arial" w:eastAsia="Arial" w:hAnsi="Arial"/>
          <w:sz w:val="18"/>
          <w:szCs w:val="18"/>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Capitalized terms used herein are defined below or, if not defined below, have the meanings given to them in the Plan.</w:t>
      </w:r>
    </w:p>
    <w:p>
      <w:pPr>
        <w:spacing w:after="0" w:line="1" w:lineRule="exact"/>
        <w:rPr>
          <w:sz w:val="20"/>
          <w:szCs w:val="20"/>
          <w:color w:val="auto"/>
        </w:rPr>
      </w:pPr>
    </w:p>
    <w:p>
      <w:pPr>
        <w:ind w:left="2800" w:hanging="847"/>
        <w:spacing w:after="0"/>
        <w:tabs>
          <w:tab w:leader="none" w:pos="2800" w:val="left"/>
        </w:tabs>
        <w:numPr>
          <w:ilvl w:val="0"/>
          <w:numId w:val="59"/>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Award</w:t>
      </w:r>
      <w:r>
        <w:rPr>
          <w:rFonts w:ascii="Arial" w:cs="Arial" w:eastAsia="Arial" w:hAnsi="Arial"/>
          <w:sz w:val="22"/>
          <w:szCs w:val="22"/>
          <w:color w:val="auto"/>
        </w:rPr>
        <w:t>” means the award of Restricted Stock Units hereby granted.</w:t>
      </w:r>
    </w:p>
    <w:p>
      <w:pPr>
        <w:spacing w:after="0" w:line="3" w:lineRule="exact"/>
        <w:rPr>
          <w:rFonts w:ascii="Arial" w:cs="Arial" w:eastAsia="Arial" w:hAnsi="Arial"/>
          <w:sz w:val="18"/>
          <w:szCs w:val="18"/>
          <w:color w:val="auto"/>
        </w:rPr>
      </w:pPr>
    </w:p>
    <w:p>
      <w:pPr>
        <w:ind w:left="2820" w:hanging="867"/>
        <w:spacing w:after="0"/>
        <w:tabs>
          <w:tab w:leader="none" w:pos="2820" w:val="left"/>
        </w:tabs>
        <w:numPr>
          <w:ilvl w:val="0"/>
          <w:numId w:val="59"/>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spacing w:after="0" w:line="17" w:lineRule="exact"/>
        <w:rPr>
          <w:rFonts w:ascii="Arial" w:cs="Arial" w:eastAsia="Arial" w:hAnsi="Arial"/>
          <w:sz w:val="18"/>
          <w:szCs w:val="18"/>
          <w:color w:val="auto"/>
        </w:rPr>
      </w:pPr>
    </w:p>
    <w:p>
      <w:pPr>
        <w:ind w:left="2800" w:hanging="847"/>
        <w:spacing w:after="0"/>
        <w:tabs>
          <w:tab w:leader="none" w:pos="2800" w:val="left"/>
        </w:tabs>
        <w:numPr>
          <w:ilvl w:val="0"/>
          <w:numId w:val="59"/>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17" w:lineRule="exact"/>
        <w:rPr>
          <w:rFonts w:ascii="Arial" w:cs="Arial" w:eastAsia="Arial" w:hAnsi="Arial"/>
          <w:sz w:val="18"/>
          <w:szCs w:val="18"/>
          <w:color w:val="auto"/>
        </w:rPr>
      </w:pPr>
    </w:p>
    <w:p>
      <w:pPr>
        <w:ind w:left="2820" w:hanging="867"/>
        <w:spacing w:after="0"/>
        <w:tabs>
          <w:tab w:leader="none" w:pos="2820" w:val="left"/>
        </w:tabs>
        <w:numPr>
          <w:ilvl w:val="0"/>
          <w:numId w:val="59"/>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Committee</w:t>
      </w:r>
      <w:r>
        <w:rPr>
          <w:rFonts w:ascii="Arial" w:cs="Arial" w:eastAsia="Arial" w:hAnsi="Arial"/>
          <w:sz w:val="22"/>
          <w:szCs w:val="22"/>
          <w:color w:val="auto"/>
        </w:rPr>
        <w:t>” means the Compensation Committee of the Board or its delegate.</w:t>
      </w:r>
    </w:p>
    <w:p>
      <w:pPr>
        <w:spacing w:after="0" w:line="17" w:lineRule="exact"/>
        <w:rPr>
          <w:rFonts w:ascii="Arial" w:cs="Arial" w:eastAsia="Arial" w:hAnsi="Arial"/>
          <w:sz w:val="18"/>
          <w:szCs w:val="18"/>
          <w:color w:val="auto"/>
        </w:rPr>
      </w:pPr>
    </w:p>
    <w:p>
      <w:pPr>
        <w:ind w:left="2800" w:hanging="847"/>
        <w:spacing w:after="0"/>
        <w:tabs>
          <w:tab w:leader="none" w:pos="2800" w:val="left"/>
        </w:tabs>
        <w:numPr>
          <w:ilvl w:val="0"/>
          <w:numId w:val="59"/>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Date of Grant</w:t>
      </w:r>
      <w:r>
        <w:rPr>
          <w:rFonts w:ascii="Arial" w:cs="Arial" w:eastAsia="Arial" w:hAnsi="Arial"/>
          <w:sz w:val="19"/>
          <w:szCs w:val="19"/>
          <w:color w:val="auto"/>
        </w:rPr>
        <w:t>” means the date first set forth above, on which the Company awarded the Restricted</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Stock Units.</w:t>
      </w:r>
    </w:p>
    <w:p>
      <w:pPr>
        <w:spacing w:after="0" w:line="17" w:lineRule="exact"/>
        <w:rPr>
          <w:sz w:val="20"/>
          <w:szCs w:val="20"/>
          <w:color w:val="auto"/>
        </w:rPr>
      </w:pPr>
    </w:p>
    <w:p>
      <w:pPr>
        <w:ind w:left="2780" w:hanging="827"/>
        <w:spacing w:after="0"/>
        <w:tabs>
          <w:tab w:leader="none" w:pos="2780" w:val="left"/>
        </w:tabs>
        <w:numPr>
          <w:ilvl w:val="0"/>
          <w:numId w:val="60"/>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Disabled Grantee</w:t>
      </w:r>
      <w:r>
        <w:rPr>
          <w:rFonts w:ascii="Arial" w:cs="Arial" w:eastAsia="Arial" w:hAnsi="Arial"/>
          <w:sz w:val="22"/>
          <w:szCs w:val="22"/>
          <w:color w:val="auto"/>
        </w:rPr>
        <w:t>” means:</w:t>
      </w:r>
    </w:p>
    <w:p>
      <w:pPr>
        <w:spacing w:after="0" w:line="3" w:lineRule="exact"/>
        <w:rPr>
          <w:rFonts w:ascii="Arial" w:cs="Arial" w:eastAsia="Arial" w:hAnsi="Arial"/>
          <w:sz w:val="18"/>
          <w:szCs w:val="18"/>
          <w:color w:val="auto"/>
        </w:rPr>
      </w:pPr>
    </w:p>
    <w:p>
      <w:pPr>
        <w:ind w:left="3460" w:hanging="859"/>
        <w:spacing w:after="0"/>
        <w:tabs>
          <w:tab w:leader="none" w:pos="3460" w:val="left"/>
        </w:tabs>
        <w:numPr>
          <w:ilvl w:val="1"/>
          <w:numId w:val="60"/>
        </w:numPr>
        <w:rPr>
          <w:rFonts w:ascii="Arial" w:cs="Arial" w:eastAsia="Arial" w:hAnsi="Arial"/>
          <w:sz w:val="16"/>
          <w:szCs w:val="16"/>
          <w:color w:val="auto"/>
        </w:rPr>
      </w:pPr>
      <w:r>
        <w:rPr>
          <w:rFonts w:ascii="Arial" w:cs="Arial" w:eastAsia="Arial" w:hAnsi="Arial"/>
          <w:sz w:val="19"/>
          <w:szCs w:val="19"/>
          <w:color w:val="auto"/>
        </w:rPr>
        <w:t>Grantee, if Grantee’s employment by a Participating Company is terminated by reason of</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Disability; or</w:t>
      </w:r>
    </w:p>
    <w:p>
      <w:pPr>
        <w:spacing w:after="0" w:line="17" w:lineRule="exact"/>
        <w:rPr>
          <w:sz w:val="20"/>
          <w:szCs w:val="20"/>
          <w:color w:val="auto"/>
        </w:rPr>
      </w:pPr>
    </w:p>
    <w:p>
      <w:pPr>
        <w:ind w:right="20" w:firstLine="2601"/>
        <w:spacing w:after="0" w:line="249" w:lineRule="auto"/>
        <w:tabs>
          <w:tab w:leader="none" w:pos="3451" w:val="left"/>
        </w:tabs>
        <w:numPr>
          <w:ilvl w:val="1"/>
          <w:numId w:val="61"/>
        </w:numPr>
        <w:rPr>
          <w:rFonts w:ascii="Arial" w:cs="Arial" w:eastAsia="Arial" w:hAnsi="Arial"/>
          <w:sz w:val="18"/>
          <w:szCs w:val="18"/>
          <w:color w:val="auto"/>
        </w:rPr>
      </w:pPr>
      <w:r>
        <w:rPr>
          <w:rFonts w:ascii="Arial" w:cs="Arial" w:eastAsia="Arial" w:hAnsi="Arial"/>
          <w:sz w:val="22"/>
          <w:szCs w:val="22"/>
          <w:color w:val="auto"/>
        </w:rPr>
        <w:t>Grantee’s duly-appointed legal guardian following Grantee’s termination of employment by reason of Disability, acting on Grantee’s behalf.</w:t>
      </w:r>
    </w:p>
    <w:p>
      <w:pPr>
        <w:spacing w:after="0" w:line="1" w:lineRule="exact"/>
        <w:rPr>
          <w:rFonts w:ascii="Arial" w:cs="Arial" w:eastAsia="Arial" w:hAnsi="Arial"/>
          <w:sz w:val="18"/>
          <w:szCs w:val="18"/>
          <w:color w:val="auto"/>
        </w:rPr>
      </w:pPr>
    </w:p>
    <w:p>
      <w:pPr>
        <w:ind w:right="20" w:firstLine="1953"/>
        <w:spacing w:after="0" w:line="249" w:lineRule="auto"/>
        <w:tabs>
          <w:tab w:leader="none" w:pos="2803" w:val="left"/>
        </w:tabs>
        <w:numPr>
          <w:ilvl w:val="0"/>
          <w:numId w:val="62"/>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Employer</w:t>
      </w:r>
      <w:r>
        <w:rPr>
          <w:rFonts w:ascii="Arial" w:cs="Arial" w:eastAsia="Arial" w:hAnsi="Arial"/>
          <w:sz w:val="22"/>
          <w:szCs w:val="22"/>
          <w:color w:val="auto"/>
        </w:rPr>
        <w:t>” means the Company or the subsidiary or affiliate of the Company for which Grantee is performing services on the Vesting Date.</w:t>
      </w:r>
    </w:p>
    <w:p>
      <w:pPr>
        <w:spacing w:after="0" w:line="1" w:lineRule="exact"/>
        <w:rPr>
          <w:rFonts w:ascii="Arial" w:cs="Arial" w:eastAsia="Arial" w:hAnsi="Arial"/>
          <w:sz w:val="18"/>
          <w:szCs w:val="18"/>
          <w:color w:val="auto"/>
        </w:rPr>
      </w:pPr>
    </w:p>
    <w:p>
      <w:pPr>
        <w:ind w:right="100" w:firstLine="1953"/>
        <w:spacing w:after="0" w:line="249" w:lineRule="auto"/>
        <w:tabs>
          <w:tab w:leader="none" w:pos="2803" w:val="left"/>
        </w:tabs>
        <w:numPr>
          <w:ilvl w:val="0"/>
          <w:numId w:val="62"/>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Grantee</w:t>
      </w:r>
      <w:r>
        <w:rPr>
          <w:rFonts w:ascii="Arial" w:cs="Arial" w:eastAsia="Arial" w:hAnsi="Arial"/>
          <w:sz w:val="22"/>
          <w:szCs w:val="22"/>
          <w:color w:val="auto"/>
        </w:rPr>
        <w:t>” means the individual to whom this Award has been granted as identified on the attached Long-Term Incentive Awards Summary Schedule.</w:t>
      </w:r>
    </w:p>
    <w:p>
      <w:pPr>
        <w:spacing w:after="0" w:line="1" w:lineRule="exact"/>
        <w:rPr>
          <w:rFonts w:ascii="Arial" w:cs="Arial" w:eastAsia="Arial" w:hAnsi="Arial"/>
          <w:sz w:val="18"/>
          <w:szCs w:val="18"/>
          <w:color w:val="auto"/>
        </w:rPr>
      </w:pPr>
    </w:p>
    <w:p>
      <w:pPr>
        <w:ind w:right="60" w:firstLine="1953"/>
        <w:spacing w:after="0" w:line="249" w:lineRule="auto"/>
        <w:tabs>
          <w:tab w:leader="none" w:pos="2763" w:val="left"/>
        </w:tabs>
        <w:numPr>
          <w:ilvl w:val="0"/>
          <w:numId w:val="62"/>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Long-Term Incentive Awards Summary Schedule</w:t>
      </w:r>
      <w:r>
        <w:rPr>
          <w:rFonts w:ascii="Arial" w:cs="Arial" w:eastAsia="Arial" w:hAnsi="Arial"/>
          <w:sz w:val="22"/>
          <w:szCs w:val="22"/>
          <w:color w:val="auto"/>
        </w:rPr>
        <w:t>” means the schedule attached hereto, which sets forth specific information relating to the grant and vesting of this Award.</w:t>
      </w:r>
    </w:p>
    <w:p>
      <w:pPr>
        <w:spacing w:after="0" w:line="1" w:lineRule="exact"/>
        <w:rPr>
          <w:rFonts w:ascii="Arial" w:cs="Arial" w:eastAsia="Arial" w:hAnsi="Arial"/>
          <w:sz w:val="18"/>
          <w:szCs w:val="18"/>
          <w:color w:val="auto"/>
        </w:rPr>
      </w:pPr>
    </w:p>
    <w:p>
      <w:pPr>
        <w:ind w:right="460" w:firstLine="1953"/>
        <w:spacing w:after="0" w:line="247" w:lineRule="auto"/>
        <w:tabs>
          <w:tab w:leader="none" w:pos="2763" w:val="left"/>
        </w:tabs>
        <w:numPr>
          <w:ilvl w:val="0"/>
          <w:numId w:val="62"/>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NPS</w:t>
      </w:r>
      <w:r>
        <w:rPr>
          <w:rFonts w:ascii="Arial" w:cs="Arial" w:eastAsia="Arial" w:hAnsi="Arial"/>
          <w:sz w:val="22"/>
          <w:szCs w:val="22"/>
          <w:color w:val="auto"/>
        </w:rPr>
        <w:t>” means Net Promoter Score, an index ranging from -100 to +100, that measures the willingness of customers to recommend a company’s products or services to others, as determined for any calendar year by the Committee in good faith.</w:t>
      </w:r>
    </w:p>
    <w:p>
      <w:pPr>
        <w:spacing w:after="0" w:line="2" w:lineRule="exact"/>
        <w:rPr>
          <w:rFonts w:ascii="Arial" w:cs="Arial" w:eastAsia="Arial" w:hAnsi="Arial"/>
          <w:sz w:val="18"/>
          <w:szCs w:val="18"/>
          <w:color w:val="auto"/>
        </w:rPr>
      </w:pPr>
    </w:p>
    <w:p>
      <w:pPr>
        <w:ind w:left="2820" w:hanging="867"/>
        <w:spacing w:after="0"/>
        <w:tabs>
          <w:tab w:leader="none" w:pos="2820" w:val="left"/>
        </w:tabs>
        <w:numPr>
          <w:ilvl w:val="0"/>
          <w:numId w:val="62"/>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Performance Goal</w:t>
      </w:r>
      <w:r>
        <w:rPr>
          <w:rFonts w:ascii="Arial" w:cs="Arial" w:eastAsia="Arial" w:hAnsi="Arial"/>
          <w:sz w:val="22"/>
          <w:szCs w:val="22"/>
          <w:color w:val="auto"/>
        </w:rPr>
        <w:t>” means NPS as follows:</w:t>
      </w:r>
    </w:p>
    <w:p>
      <w:pPr>
        <w:spacing w:after="0" w:line="3" w:lineRule="exact"/>
        <w:rPr>
          <w:rFonts w:ascii="Arial" w:cs="Arial" w:eastAsia="Arial" w:hAnsi="Arial"/>
          <w:sz w:val="18"/>
          <w:szCs w:val="18"/>
          <w:color w:val="auto"/>
        </w:rPr>
      </w:pPr>
    </w:p>
    <w:p>
      <w:pPr>
        <w:ind w:left="3700" w:hanging="1099"/>
        <w:spacing w:after="0"/>
        <w:tabs>
          <w:tab w:leader="none" w:pos="3700" w:val="left"/>
        </w:tabs>
        <w:numPr>
          <w:ilvl w:val="1"/>
          <w:numId w:val="62"/>
        </w:numPr>
        <w:rPr>
          <w:rFonts w:ascii="Arial" w:cs="Arial" w:eastAsia="Arial" w:hAnsi="Arial"/>
          <w:sz w:val="17"/>
          <w:szCs w:val="17"/>
          <w:color w:val="auto"/>
        </w:rPr>
      </w:pPr>
      <w:r>
        <w:rPr>
          <w:rFonts w:ascii="Arial" w:cs="Arial" w:eastAsia="Arial" w:hAnsi="Arial"/>
          <w:sz w:val="21"/>
          <w:szCs w:val="21"/>
          <w:color w:val="auto"/>
        </w:rPr>
        <w:t>The “</w:t>
      </w:r>
      <w:r>
        <w:rPr>
          <w:rFonts w:ascii="Arial" w:cs="Arial" w:eastAsia="Arial" w:hAnsi="Arial"/>
          <w:sz w:val="21"/>
          <w:szCs w:val="21"/>
          <w:u w:val="single" w:color="auto"/>
          <w:color w:val="auto"/>
        </w:rPr>
        <w:t>First Performance Goal</w:t>
      </w:r>
      <w:r>
        <w:rPr>
          <w:rFonts w:ascii="Arial" w:cs="Arial" w:eastAsia="Arial" w:hAnsi="Arial"/>
          <w:sz w:val="21"/>
          <w:szCs w:val="21"/>
          <w:color w:val="auto"/>
        </w:rPr>
        <w:t>” will be satisfied if NPS as of [________] equals or</w:t>
      </w:r>
    </w:p>
    <w:p>
      <w:pPr>
        <w:spacing w:after="0" w:line="2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22"/>
          <w:szCs w:val="22"/>
          <w:color w:val="auto"/>
        </w:rPr>
        <w:t>exceeds [___];</w:t>
      </w:r>
    </w:p>
    <w:p>
      <w:pPr>
        <w:spacing w:after="0" w:line="17" w:lineRule="exact"/>
        <w:rPr>
          <w:rFonts w:ascii="Arial" w:cs="Arial" w:eastAsia="Arial" w:hAnsi="Arial"/>
          <w:sz w:val="17"/>
          <w:szCs w:val="17"/>
          <w:color w:val="auto"/>
        </w:rPr>
      </w:pPr>
    </w:p>
    <w:p>
      <w:pPr>
        <w:ind w:left="3700" w:hanging="1099"/>
        <w:spacing w:after="0"/>
        <w:tabs>
          <w:tab w:leader="none" w:pos="3700" w:val="left"/>
        </w:tabs>
        <w:numPr>
          <w:ilvl w:val="1"/>
          <w:numId w:val="62"/>
        </w:numPr>
        <w:rPr>
          <w:rFonts w:ascii="Arial" w:cs="Arial" w:eastAsia="Arial" w:hAnsi="Arial"/>
          <w:sz w:val="17"/>
          <w:szCs w:val="17"/>
          <w:color w:val="auto"/>
        </w:rPr>
      </w:pPr>
      <w:r>
        <w:rPr>
          <w:rFonts w:ascii="Arial" w:cs="Arial" w:eastAsia="Arial" w:hAnsi="Arial"/>
          <w:sz w:val="21"/>
          <w:szCs w:val="21"/>
          <w:color w:val="auto"/>
        </w:rPr>
        <w:t>The “</w:t>
      </w:r>
      <w:r>
        <w:rPr>
          <w:rFonts w:ascii="Arial" w:cs="Arial" w:eastAsia="Arial" w:hAnsi="Arial"/>
          <w:sz w:val="21"/>
          <w:szCs w:val="21"/>
          <w:u w:val="single" w:color="auto"/>
          <w:color w:val="auto"/>
        </w:rPr>
        <w:t>Second Performance Goal</w:t>
      </w:r>
      <w:r>
        <w:rPr>
          <w:rFonts w:ascii="Arial" w:cs="Arial" w:eastAsia="Arial" w:hAnsi="Arial"/>
          <w:sz w:val="21"/>
          <w:szCs w:val="21"/>
          <w:color w:val="auto"/>
        </w:rPr>
        <w:t>” will be satisfied if NPS as of [________] equals or</w:t>
      </w:r>
    </w:p>
    <w:p>
      <w:pPr>
        <w:spacing w:after="0" w:line="1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22"/>
          <w:szCs w:val="22"/>
          <w:color w:val="auto"/>
        </w:rPr>
        <w:t>exceeds [___]; and</w:t>
      </w:r>
    </w:p>
    <w:p>
      <w:pPr>
        <w:spacing w:after="0" w:line="17" w:lineRule="exact"/>
        <w:rPr>
          <w:rFonts w:ascii="Arial" w:cs="Arial" w:eastAsia="Arial" w:hAnsi="Arial"/>
          <w:sz w:val="17"/>
          <w:szCs w:val="17"/>
          <w:color w:val="auto"/>
        </w:rPr>
      </w:pPr>
    </w:p>
    <w:p>
      <w:pPr>
        <w:ind w:left="3700" w:hanging="1099"/>
        <w:spacing w:after="0"/>
        <w:tabs>
          <w:tab w:leader="none" w:pos="3700" w:val="left"/>
        </w:tabs>
        <w:numPr>
          <w:ilvl w:val="1"/>
          <w:numId w:val="62"/>
        </w:numPr>
        <w:rPr>
          <w:rFonts w:ascii="Arial" w:cs="Arial" w:eastAsia="Arial" w:hAnsi="Arial"/>
          <w:sz w:val="17"/>
          <w:szCs w:val="17"/>
          <w:color w:val="auto"/>
        </w:rPr>
      </w:pPr>
      <w:r>
        <w:rPr>
          <w:rFonts w:ascii="Arial" w:cs="Arial" w:eastAsia="Arial" w:hAnsi="Arial"/>
          <w:sz w:val="21"/>
          <w:szCs w:val="21"/>
          <w:color w:val="auto"/>
        </w:rPr>
        <w:t>The “</w:t>
      </w:r>
      <w:r>
        <w:rPr>
          <w:rFonts w:ascii="Arial" w:cs="Arial" w:eastAsia="Arial" w:hAnsi="Arial"/>
          <w:sz w:val="21"/>
          <w:szCs w:val="21"/>
          <w:u w:val="single" w:color="auto"/>
          <w:color w:val="auto"/>
        </w:rPr>
        <w:t>Third Performance Goal</w:t>
      </w:r>
      <w:r>
        <w:rPr>
          <w:rFonts w:ascii="Arial" w:cs="Arial" w:eastAsia="Arial" w:hAnsi="Arial"/>
          <w:sz w:val="21"/>
          <w:szCs w:val="21"/>
          <w:color w:val="auto"/>
        </w:rPr>
        <w:t>” will be satisfied if NPS as of [________] equals or</w:t>
      </w:r>
    </w:p>
    <w:p>
      <w:pPr>
        <w:spacing w:after="0" w:line="1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22"/>
          <w:szCs w:val="22"/>
          <w:color w:val="auto"/>
        </w:rPr>
        <w:t>exceeds [___].</w:t>
      </w:r>
    </w:p>
    <w:p>
      <w:pPr>
        <w:spacing w:after="0" w:line="17" w:lineRule="exact"/>
        <w:rPr>
          <w:rFonts w:ascii="Arial" w:cs="Arial" w:eastAsia="Arial" w:hAnsi="Arial"/>
          <w:sz w:val="17"/>
          <w:szCs w:val="17"/>
          <w:color w:val="auto"/>
        </w:rPr>
      </w:pPr>
    </w:p>
    <w:p>
      <w:pPr>
        <w:ind w:left="2780" w:hanging="827"/>
        <w:spacing w:after="0"/>
        <w:tabs>
          <w:tab w:leader="none" w:pos="2780" w:val="left"/>
        </w:tabs>
        <w:numPr>
          <w:ilvl w:val="0"/>
          <w:numId w:val="62"/>
        </w:numPr>
        <w:rPr>
          <w:rFonts w:ascii="Arial" w:cs="Arial" w:eastAsia="Arial" w:hAnsi="Arial"/>
          <w:sz w:val="17"/>
          <w:szCs w:val="17"/>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Plan</w:t>
      </w:r>
      <w:r>
        <w:rPr>
          <w:rFonts w:ascii="Arial" w:cs="Arial" w:eastAsia="Arial" w:hAnsi="Arial"/>
          <w:sz w:val="21"/>
          <w:szCs w:val="21"/>
          <w:color w:val="auto"/>
        </w:rPr>
        <w:t>” means the Comcast Corporation 2002 Restricted Stock Plan, incorporated herein by</w:t>
      </w:r>
    </w:p>
    <w:p>
      <w:pPr>
        <w:spacing w:after="0" w:line="1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22"/>
          <w:szCs w:val="22"/>
          <w:color w:val="auto"/>
        </w:rPr>
        <w:t>reference.</w:t>
      </w:r>
    </w:p>
    <w:p>
      <w:pPr>
        <w:spacing w:after="0" w:line="17" w:lineRule="exact"/>
        <w:rPr>
          <w:rFonts w:ascii="Arial" w:cs="Arial" w:eastAsia="Arial" w:hAnsi="Arial"/>
          <w:sz w:val="17"/>
          <w:szCs w:val="17"/>
          <w:color w:val="auto"/>
        </w:rPr>
      </w:pPr>
    </w:p>
    <w:p>
      <w:pPr>
        <w:ind w:right="40" w:firstLine="1953"/>
        <w:spacing w:after="0" w:line="249" w:lineRule="auto"/>
        <w:tabs>
          <w:tab w:leader="none" w:pos="2853" w:val="left"/>
        </w:tabs>
        <w:numPr>
          <w:ilvl w:val="0"/>
          <w:numId w:val="62"/>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Period</w:t>
      </w:r>
      <w:r>
        <w:rPr>
          <w:rFonts w:ascii="Arial" w:cs="Arial" w:eastAsia="Arial" w:hAnsi="Arial"/>
          <w:sz w:val="22"/>
          <w:szCs w:val="22"/>
          <w:color w:val="auto"/>
        </w:rPr>
        <w:t>” means, with respect to each Restricted Stock Unit, the period beginning on the Date of Grant and ending on the Vesting Date.</w:t>
      </w:r>
    </w:p>
    <w:p>
      <w:pPr>
        <w:spacing w:after="0" w:line="1" w:lineRule="exact"/>
        <w:rPr>
          <w:rFonts w:ascii="Arial" w:cs="Arial" w:eastAsia="Arial" w:hAnsi="Arial"/>
          <w:sz w:val="18"/>
          <w:szCs w:val="18"/>
          <w:color w:val="auto"/>
        </w:rPr>
      </w:pPr>
    </w:p>
    <w:p>
      <w:pPr>
        <w:ind w:right="300" w:firstLine="1953"/>
        <w:spacing w:after="0" w:line="259" w:lineRule="auto"/>
        <w:tabs>
          <w:tab w:leader="none" w:pos="2803" w:val="left"/>
        </w:tabs>
        <w:numPr>
          <w:ilvl w:val="0"/>
          <w:numId w:val="62"/>
        </w:numPr>
        <w:rPr>
          <w:rFonts w:ascii="Arial" w:cs="Arial" w:eastAsia="Arial" w:hAnsi="Arial"/>
          <w:sz w:val="17"/>
          <w:szCs w:val="17"/>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Stock Units</w:t>
      </w:r>
      <w:r>
        <w:rPr>
          <w:rFonts w:ascii="Arial" w:cs="Arial" w:eastAsia="Arial" w:hAnsi="Arial"/>
          <w:sz w:val="21"/>
          <w:szCs w:val="21"/>
          <w:color w:val="auto"/>
        </w:rPr>
        <w:t>” means the total number of restricted stock units granted to Grantee pursuant to this Award as set forth on the attached Long-Term Incentive Awards Summary Schedule. Each Restricted Stock Unit entitles Grantee, upon the Vesting Date of such Restricted Stock Unit, to receive one Share.</w:t>
      </w:r>
    </w:p>
    <w:p>
      <w:pPr>
        <w:spacing w:after="0" w:line="1" w:lineRule="exact"/>
        <w:rPr>
          <w:rFonts w:ascii="Arial" w:cs="Arial" w:eastAsia="Arial" w:hAnsi="Arial"/>
          <w:sz w:val="17"/>
          <w:szCs w:val="17"/>
          <w:color w:val="auto"/>
        </w:rPr>
      </w:pPr>
    </w:p>
    <w:p>
      <w:pPr>
        <w:ind w:left="2820" w:hanging="867"/>
        <w:spacing w:after="0"/>
        <w:tabs>
          <w:tab w:leader="none" w:pos="2820" w:val="left"/>
        </w:tabs>
        <w:numPr>
          <w:ilvl w:val="0"/>
          <w:numId w:val="62"/>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Rule 16b-3</w:t>
      </w:r>
      <w:r>
        <w:rPr>
          <w:rFonts w:ascii="Arial" w:cs="Arial" w:eastAsia="Arial" w:hAnsi="Arial"/>
          <w:sz w:val="19"/>
          <w:szCs w:val="19"/>
          <w:color w:val="auto"/>
        </w:rPr>
        <w:t>” means Rule 16b-3 promulgated under the 1934 Act, as in effect from time to time.</w:t>
      </w:r>
    </w:p>
    <w:p>
      <w:pPr>
        <w:spacing w:after="0" w:line="38" w:lineRule="exact"/>
        <w:rPr>
          <w:rFonts w:ascii="Arial" w:cs="Arial" w:eastAsia="Arial" w:hAnsi="Arial"/>
          <w:sz w:val="16"/>
          <w:szCs w:val="16"/>
          <w:color w:val="auto"/>
        </w:rPr>
      </w:pPr>
    </w:p>
    <w:p>
      <w:pPr>
        <w:ind w:left="2820" w:hanging="867"/>
        <w:spacing w:after="0"/>
        <w:tabs>
          <w:tab w:leader="none" w:pos="2820" w:val="left"/>
        </w:tabs>
        <w:numPr>
          <w:ilvl w:val="0"/>
          <w:numId w:val="62"/>
        </w:numPr>
        <w:rPr>
          <w:rFonts w:ascii="Arial" w:cs="Arial" w:eastAsia="Arial" w:hAnsi="Arial"/>
          <w:sz w:val="17"/>
          <w:szCs w:val="17"/>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Shares</w:t>
      </w:r>
      <w:r>
        <w:rPr>
          <w:rFonts w:ascii="Arial" w:cs="Arial" w:eastAsia="Arial" w:hAnsi="Arial"/>
          <w:sz w:val="21"/>
          <w:szCs w:val="21"/>
          <w:color w:val="auto"/>
        </w:rPr>
        <w:t>” mean shares of the Company’s Class A Common Stock, par value $.01 per share.</w:t>
      </w:r>
    </w:p>
    <w:p>
      <w:pPr>
        <w:sectPr>
          <w:pgSz w:w="11900" w:h="16838" w:orient="portrait"/>
          <w:cols w:equalWidth="0" w:num="1">
            <w:col w:w="11420"/>
          </w:cols>
          <w:pgMar w:left="240" w:top="121" w:right="239" w:bottom="1440" w:gutter="0" w:footer="0" w:header="0"/>
        </w:sectPr>
      </w:pPr>
    </w:p>
    <w:bookmarkStart w:id="84" w:name="page85"/>
    <w:bookmarkEnd w:id="84"/>
    <w:p>
      <w:pPr>
        <w:ind w:left="-1200" w:right="20" w:firstLine="1953"/>
        <w:spacing w:after="0" w:line="258" w:lineRule="auto"/>
        <w:tabs>
          <w:tab w:leader="none" w:pos="1603" w:val="left"/>
        </w:tabs>
        <w:numPr>
          <w:ilvl w:val="1"/>
          <w:numId w:val="63"/>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Vesting Date</w:t>
      </w:r>
      <w:r>
        <w:rPr>
          <w:rFonts w:ascii="Arial" w:cs="Arial" w:eastAsia="Arial" w:hAnsi="Arial"/>
          <w:sz w:val="22"/>
          <w:szCs w:val="22"/>
          <w:color w:val="auto"/>
        </w:rPr>
        <w:t>” means the date(s) on which Grantee vests in all or a portion of the Restricted Stock Units, as set forth on the attached Long-Term Incentive Awards Summary Schedule.</w:t>
      </w:r>
    </w:p>
    <w:p>
      <w:pPr>
        <w:ind w:left="1580" w:hanging="827"/>
        <w:spacing w:after="0"/>
        <w:tabs>
          <w:tab w:leader="none" w:pos="1580" w:val="left"/>
        </w:tabs>
        <w:numPr>
          <w:ilvl w:val="1"/>
          <w:numId w:val="63"/>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1934 Act</w:t>
      </w:r>
      <w:r>
        <w:rPr>
          <w:rFonts w:ascii="Arial" w:cs="Arial" w:eastAsia="Arial" w:hAnsi="Arial"/>
          <w:sz w:val="22"/>
          <w:szCs w:val="22"/>
          <w:color w:val="auto"/>
        </w:rPr>
        <w:t>” means the Securities Exchange Act of 1934, as amended.</w:t>
      </w:r>
    </w:p>
    <w:p>
      <w:pPr>
        <w:spacing w:after="0" w:line="3" w:lineRule="exact"/>
        <w:rPr>
          <w:rFonts w:ascii="Arial" w:cs="Arial" w:eastAsia="Arial" w:hAnsi="Arial"/>
          <w:sz w:val="18"/>
          <w:szCs w:val="18"/>
          <w:color w:val="auto"/>
        </w:rPr>
      </w:pPr>
    </w:p>
    <w:p>
      <w:pPr>
        <w:ind w:left="-1200" w:right="320" w:firstLine="1305"/>
        <w:spacing w:after="0" w:line="256"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22"/>
          <w:szCs w:val="22"/>
          <w:u w:val="single" w:color="auto"/>
          <w:color w:val="auto"/>
        </w:rPr>
        <w:t>Grant of Restricted Stock Units</w:t>
      </w:r>
      <w:r>
        <w:rPr>
          <w:rFonts w:ascii="Arial" w:cs="Arial" w:eastAsia="Arial" w:hAnsi="Arial"/>
          <w:sz w:val="22"/>
          <w:szCs w:val="22"/>
          <w:color w:val="auto"/>
        </w:rPr>
        <w:t>. Subject to the terms and conditions set forth herein and in the Plan, the Company hereby grants to Grantee the Restricted Stock Units.</w:t>
      </w:r>
    </w:p>
    <w:p>
      <w:pPr>
        <w:ind w:left="880" w:hanging="775"/>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22"/>
          <w:szCs w:val="22"/>
          <w:u w:val="single" w:color="auto"/>
          <w:color w:val="auto"/>
        </w:rPr>
        <w:t>Dividend Equivalents</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ind w:left="-1200" w:right="80" w:firstLine="1953"/>
        <w:spacing w:after="0" w:line="249" w:lineRule="auto"/>
        <w:tabs>
          <w:tab w:leader="none" w:pos="1593" w:val="left"/>
        </w:tabs>
        <w:numPr>
          <w:ilvl w:val="1"/>
          <w:numId w:val="64"/>
        </w:numPr>
        <w:rPr>
          <w:rFonts w:ascii="Arial" w:cs="Arial" w:eastAsia="Arial" w:hAnsi="Arial"/>
          <w:sz w:val="18"/>
          <w:szCs w:val="18"/>
          <w:color w:val="auto"/>
        </w:rPr>
      </w:pPr>
      <w:r>
        <w:rPr>
          <w:rFonts w:ascii="Arial" w:cs="Arial" w:eastAsia="Arial" w:hAnsi="Arial"/>
          <w:sz w:val="22"/>
          <w:szCs w:val="22"/>
          <w:color w:val="auto"/>
        </w:rPr>
        <w:t>The Restricted Stock Units are granted with dividend equivalent rights. If the Company declares a cash dividend on the Shares, an amount equivalent to such dividend will be credited to an unfunded bookkeeping account with respect to each outstanding and unvested Restricted Stock Unit (the “</w:t>
      </w:r>
      <w:r>
        <w:rPr>
          <w:rFonts w:ascii="Arial" w:cs="Arial" w:eastAsia="Arial" w:hAnsi="Arial"/>
          <w:sz w:val="22"/>
          <w:szCs w:val="22"/>
          <w:u w:val="single" w:color="auto"/>
          <w:color w:val="auto"/>
        </w:rPr>
        <w:t>Dividend Equivalent Amount</w:t>
      </w:r>
      <w:r>
        <w:rPr>
          <w:rFonts w:ascii="Arial" w:cs="Arial" w:eastAsia="Arial" w:hAnsi="Arial"/>
          <w:sz w:val="22"/>
          <w:szCs w:val="22"/>
          <w:color w:val="auto"/>
        </w:rPr>
        <w:t>”) on the record date of such dividend.</w:t>
      </w:r>
    </w:p>
    <w:p>
      <w:pPr>
        <w:spacing w:after="0" w:line="3" w:lineRule="exact"/>
        <w:rPr>
          <w:rFonts w:ascii="Arial" w:cs="Arial" w:eastAsia="Arial" w:hAnsi="Arial"/>
          <w:sz w:val="18"/>
          <w:szCs w:val="18"/>
          <w:color w:val="auto"/>
        </w:rPr>
      </w:pPr>
    </w:p>
    <w:p>
      <w:pPr>
        <w:ind w:left="-1200" w:right="40" w:firstLine="1953"/>
        <w:spacing w:after="0" w:line="285" w:lineRule="auto"/>
        <w:tabs>
          <w:tab w:leader="none" w:pos="1603" w:val="left"/>
        </w:tabs>
        <w:numPr>
          <w:ilvl w:val="1"/>
          <w:numId w:val="64"/>
        </w:numPr>
        <w:rPr>
          <w:rFonts w:ascii="Arial" w:cs="Arial" w:eastAsia="Arial" w:hAnsi="Arial"/>
          <w:sz w:val="16"/>
          <w:szCs w:val="16"/>
          <w:color w:val="auto"/>
        </w:rPr>
      </w:pPr>
      <w:r>
        <w:rPr>
          <w:rFonts w:ascii="Arial" w:cs="Arial" w:eastAsia="Arial" w:hAnsi="Arial"/>
          <w:sz w:val="19"/>
          <w:szCs w:val="19"/>
          <w:color w:val="auto"/>
        </w:rPr>
        <w:t>The Dividend Equivalent Amount will be credited as cash, without interest, and will not be converted to Shares. The Dividend Equivalent Amount will be payable in cash, but only upon the applicable Vesting Date(s) of the underlying Restricted Stock Units as determined in accordance with Paragraph 4 below, and will be cancelled and forfeited if the underlying Restricted Stock Units are cancelled or forfeited as determined in accordance with Paragraph 5 below.</w:t>
      </w:r>
    </w:p>
    <w:p>
      <w:pPr>
        <w:spacing w:after="0" w:line="2" w:lineRule="exact"/>
        <w:rPr>
          <w:rFonts w:ascii="Arial" w:cs="Arial" w:eastAsia="Arial" w:hAnsi="Arial"/>
          <w:sz w:val="16"/>
          <w:szCs w:val="16"/>
          <w:color w:val="auto"/>
        </w:rPr>
      </w:pPr>
    </w:p>
    <w:p>
      <w:pPr>
        <w:ind w:left="880" w:hanging="775"/>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22"/>
          <w:szCs w:val="22"/>
          <w:u w:val="single" w:color="auto"/>
          <w:color w:val="auto"/>
        </w:rPr>
        <w:t>Vesting of Restricted Stock Units</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ind w:left="-1200" w:firstLine="1953"/>
        <w:spacing w:after="0" w:line="259" w:lineRule="auto"/>
        <w:tabs>
          <w:tab w:leader="none" w:pos="1593" w:val="left"/>
        </w:tabs>
        <w:numPr>
          <w:ilvl w:val="1"/>
          <w:numId w:val="64"/>
        </w:numPr>
        <w:rPr>
          <w:rFonts w:ascii="Arial" w:cs="Arial" w:eastAsia="Arial" w:hAnsi="Arial"/>
          <w:sz w:val="17"/>
          <w:szCs w:val="17"/>
          <w:color w:val="auto"/>
        </w:rPr>
      </w:pPr>
      <w:r>
        <w:rPr>
          <w:rFonts w:ascii="Arial" w:cs="Arial" w:eastAsia="Arial" w:hAnsi="Arial"/>
          <w:sz w:val="21"/>
          <w:szCs w:val="21"/>
          <w:color w:val="auto"/>
        </w:rPr>
        <w:t>Subject to the terms and conditions set forth herein and in the Plan, Grantee shall vest in the Restricted Stock Units on the Vesting Dates set forth on the attached Long-Term Incentive Awards Summary Schedule, and as of each Vesting Date shall be entitled to the delivery of Shares with respect to such Restricted Stock Units; provided, however, that on the Vesting Date, Grantee is, and has from the Date of Grant continuously been, an employee of the Company or a Subsidiary Company during the Restricted Period, provided further that the applicable Performance Goal as set forth on the attached Long-Term Incentive Awards Summary Schedule has been satisfied.</w:t>
      </w:r>
    </w:p>
    <w:p>
      <w:pPr>
        <w:spacing w:after="0" w:line="3" w:lineRule="exact"/>
        <w:rPr>
          <w:rFonts w:ascii="Arial" w:cs="Arial" w:eastAsia="Arial" w:hAnsi="Arial"/>
          <w:sz w:val="17"/>
          <w:szCs w:val="17"/>
          <w:color w:val="auto"/>
        </w:rPr>
      </w:pPr>
    </w:p>
    <w:p>
      <w:pPr>
        <w:ind w:left="-1200" w:firstLine="1953"/>
        <w:spacing w:after="0" w:line="257" w:lineRule="auto"/>
        <w:tabs>
          <w:tab w:leader="none" w:pos="1603" w:val="left"/>
        </w:tabs>
        <w:numPr>
          <w:ilvl w:val="1"/>
          <w:numId w:val="64"/>
        </w:numPr>
        <w:rPr>
          <w:rFonts w:ascii="Arial" w:cs="Arial" w:eastAsia="Arial" w:hAnsi="Arial"/>
          <w:sz w:val="17"/>
          <w:szCs w:val="17"/>
          <w:color w:val="auto"/>
        </w:rPr>
      </w:pPr>
      <w:r>
        <w:rPr>
          <w:rFonts w:ascii="Arial" w:cs="Arial" w:eastAsia="Arial" w:hAnsi="Arial"/>
          <w:sz w:val="20"/>
          <w:szCs w:val="20"/>
          <w:color w:val="auto"/>
        </w:rPr>
        <w:t>Notwithstanding Paragraph 4(a) to the contrary, if Grantee terminates employment with the Company or a Subsidiary Company during the Restricted Period due to his death or due to Grantee becoming a Disabled Grantee within the meaning of Paragraph 1(f)(1), any Vesting Date for the Restricted Stock Units that, notwithstanding such termination of employment, would have occurred on or prior to the date that is the third (3</w:t>
      </w:r>
      <w:r>
        <w:rPr>
          <w:rFonts w:ascii="Arial" w:cs="Arial" w:eastAsia="Arial" w:hAnsi="Arial"/>
          <w:sz w:val="26"/>
          <w:szCs w:val="26"/>
          <w:color w:val="auto"/>
          <w:vertAlign w:val="superscript"/>
        </w:rPr>
        <w:t>rd</w:t>
      </w:r>
      <w:r>
        <w:rPr>
          <w:rFonts w:ascii="Arial" w:cs="Arial" w:eastAsia="Arial" w:hAnsi="Arial"/>
          <w:sz w:val="20"/>
          <w:szCs w:val="20"/>
          <w:color w:val="auto"/>
        </w:rPr>
        <w:t>) anniversary of such termination of employment shall be accelerated so that such Vesting Date will be deemed to occur on the date of such termination of employment with respect to the number of Restricted Stock Units that would have otherwise vested on such Vesting Date.</w:t>
      </w:r>
    </w:p>
    <w:p>
      <w:pPr>
        <w:spacing w:after="0" w:line="1" w:lineRule="exact"/>
        <w:rPr>
          <w:rFonts w:ascii="Arial" w:cs="Arial" w:eastAsia="Arial" w:hAnsi="Arial"/>
          <w:sz w:val="17"/>
          <w:szCs w:val="17"/>
          <w:color w:val="auto"/>
        </w:rPr>
      </w:pPr>
    </w:p>
    <w:p>
      <w:pPr>
        <w:ind w:left="880" w:hanging="775"/>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22"/>
          <w:szCs w:val="22"/>
          <w:u w:val="single" w:color="auto"/>
          <w:color w:val="auto"/>
        </w:rPr>
        <w:t>Forfeiture of Restricted Stock Units</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ind w:left="-1200" w:right="40" w:firstLine="1953"/>
        <w:spacing w:after="0" w:line="261" w:lineRule="auto"/>
        <w:tabs>
          <w:tab w:leader="none" w:pos="1593" w:val="left"/>
        </w:tabs>
        <w:numPr>
          <w:ilvl w:val="1"/>
          <w:numId w:val="64"/>
        </w:numPr>
        <w:rPr>
          <w:rFonts w:ascii="Arial" w:cs="Arial" w:eastAsia="Arial" w:hAnsi="Arial"/>
          <w:sz w:val="17"/>
          <w:szCs w:val="17"/>
          <w:color w:val="auto"/>
        </w:rPr>
      </w:pPr>
      <w:r>
        <w:rPr>
          <w:rFonts w:ascii="Arial" w:cs="Arial" w:eastAsia="Arial" w:hAnsi="Arial"/>
          <w:sz w:val="21"/>
          <w:szCs w:val="21"/>
          <w:color w:val="auto"/>
        </w:rPr>
        <w:t>Subject to the terms and conditions set forth herein and in the Plan, if Grantee terminates employment with the Company and all Subsidiaries during the Restricted Period, except as specifically set forth in Paragraph 4(b), Grantee shall forfeit the Restricted Stock Units as of such termination of employment. Upon a forfeiture of the Restricted Stock Units as provided in this Paragraph 5, the Restricted Stock Units shall be deemed canceled.</w:t>
      </w:r>
    </w:p>
    <w:p>
      <w:pPr>
        <w:spacing w:after="0" w:line="2" w:lineRule="exact"/>
        <w:rPr>
          <w:rFonts w:ascii="Arial" w:cs="Arial" w:eastAsia="Arial" w:hAnsi="Arial"/>
          <w:sz w:val="17"/>
          <w:szCs w:val="17"/>
          <w:color w:val="auto"/>
        </w:rPr>
      </w:pPr>
    </w:p>
    <w:p>
      <w:pPr>
        <w:ind w:left="-1200" w:right="200" w:firstLine="1953"/>
        <w:spacing w:after="0" w:line="249" w:lineRule="auto"/>
        <w:tabs>
          <w:tab w:leader="none" w:pos="1603" w:val="left"/>
        </w:tabs>
        <w:numPr>
          <w:ilvl w:val="1"/>
          <w:numId w:val="64"/>
        </w:numPr>
        <w:rPr>
          <w:rFonts w:ascii="Arial" w:cs="Arial" w:eastAsia="Arial" w:hAnsi="Arial"/>
          <w:sz w:val="18"/>
          <w:szCs w:val="18"/>
          <w:color w:val="auto"/>
        </w:rPr>
      </w:pPr>
      <w:r>
        <w:rPr>
          <w:rFonts w:ascii="Arial" w:cs="Arial" w:eastAsia="Arial" w:hAnsi="Arial"/>
          <w:sz w:val="22"/>
          <w:szCs w:val="22"/>
          <w:color w:val="auto"/>
        </w:rPr>
        <w:t>The provisions of this Paragraph 5 shall not apply to Shares issued in respect of Restricted Stock Units as to which a Vesting Date has occurred.</w:t>
      </w:r>
    </w:p>
    <w:p>
      <w:pPr>
        <w:spacing w:after="0" w:line="1" w:lineRule="exact"/>
        <w:rPr>
          <w:rFonts w:ascii="Arial" w:cs="Arial" w:eastAsia="Arial" w:hAnsi="Arial"/>
          <w:sz w:val="18"/>
          <w:szCs w:val="18"/>
          <w:color w:val="auto"/>
        </w:rPr>
      </w:pPr>
    </w:p>
    <w:p>
      <w:pPr>
        <w:ind w:left="-1200" w:right="80" w:firstLine="1305"/>
        <w:spacing w:after="0" w:line="259" w:lineRule="auto"/>
        <w:tabs>
          <w:tab w:leader="none" w:pos="880" w:val="left"/>
        </w:tabs>
        <w:numPr>
          <w:ilvl w:val="0"/>
          <w:numId w:val="64"/>
        </w:numPr>
        <w:rPr>
          <w:rFonts w:ascii="Arial" w:cs="Arial" w:eastAsia="Arial" w:hAnsi="Arial"/>
          <w:sz w:val="17"/>
          <w:szCs w:val="17"/>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Any notice to the Company under this Agreement shall be made in care of the Committee at the Company’s main office in Philadelphia, Pennsylvania. All notices under this Agreement shall be deemed to have been given when hand-delivered or mailed, first class postage prepaid, and shall be irrevocable once given.</w:t>
      </w:r>
    </w:p>
    <w:p>
      <w:pPr>
        <w:spacing w:after="0" w:line="1" w:lineRule="exact"/>
        <w:rPr>
          <w:rFonts w:ascii="Arial" w:cs="Arial" w:eastAsia="Arial" w:hAnsi="Arial"/>
          <w:sz w:val="17"/>
          <w:szCs w:val="17"/>
          <w:color w:val="auto"/>
        </w:rPr>
      </w:pPr>
    </w:p>
    <w:p>
      <w:pPr>
        <w:ind w:left="-1200" w:right="40" w:firstLine="1305"/>
        <w:spacing w:after="0" w:line="310" w:lineRule="auto"/>
        <w:tabs>
          <w:tab w:leader="none" w:pos="880" w:val="left"/>
        </w:tabs>
        <w:numPr>
          <w:ilvl w:val="0"/>
          <w:numId w:val="64"/>
        </w:numPr>
        <w:rPr>
          <w:rFonts w:ascii="Arial" w:cs="Arial" w:eastAsia="Arial" w:hAnsi="Arial"/>
          <w:sz w:val="16"/>
          <w:szCs w:val="16"/>
          <w:color w:val="auto"/>
        </w:rPr>
      </w:pPr>
      <w:r>
        <w:rPr>
          <w:rFonts w:ascii="Arial" w:cs="Arial" w:eastAsia="Arial" w:hAnsi="Arial"/>
          <w:sz w:val="19"/>
          <w:szCs w:val="19"/>
          <w:u w:val="single" w:color="auto"/>
          <w:color w:val="auto"/>
        </w:rPr>
        <w:t>Securities Laws</w:t>
      </w:r>
      <w:r>
        <w:rPr>
          <w:rFonts w:ascii="Arial" w:cs="Arial" w:eastAsia="Arial" w:hAnsi="Arial"/>
          <w:sz w:val="19"/>
          <w:szCs w:val="19"/>
          <w:color w:val="auto"/>
        </w:rPr>
        <w:t>. The Committee may from time to time impose any conditions on the Shares issuable with respect to Restricted Stock Units as it deems necessary or advisable to ensure that the Plan satisfies the conditions of Rule 16b-3, and that Shares are issued and resold in compliance with the Securities Act of 1933, as amended.</w:t>
      </w:r>
    </w:p>
    <w:p>
      <w:pPr>
        <w:sectPr>
          <w:pgSz w:w="11900" w:h="16838" w:orient="portrait"/>
          <w:cols w:equalWidth="0" w:num="1">
            <w:col w:w="10160"/>
          </w:cols>
          <w:pgMar w:left="1440" w:top="807" w:right="299" w:bottom="1440" w:gutter="0" w:footer="0" w:header="0"/>
        </w:sectPr>
      </w:pPr>
    </w:p>
    <w:bookmarkStart w:id="85" w:name="page86"/>
    <w:bookmarkEnd w:id="85"/>
    <w:p>
      <w:pPr>
        <w:ind w:firstLine="1305"/>
        <w:spacing w:after="0" w:line="284" w:lineRule="auto"/>
        <w:tabs>
          <w:tab w:leader="none" w:pos="2080" w:val="left"/>
        </w:tabs>
        <w:numPr>
          <w:ilvl w:val="0"/>
          <w:numId w:val="65"/>
        </w:numPr>
        <w:rPr>
          <w:rFonts w:ascii="Arial" w:cs="Arial" w:eastAsia="Arial" w:hAnsi="Arial"/>
          <w:sz w:val="16"/>
          <w:szCs w:val="16"/>
          <w:color w:val="auto"/>
        </w:rPr>
      </w:pPr>
      <w:r>
        <w:rPr>
          <w:rFonts w:ascii="Arial" w:cs="Arial" w:eastAsia="Arial" w:hAnsi="Arial"/>
          <w:sz w:val="19"/>
          <w:szCs w:val="19"/>
          <w:u w:val="single" w:color="auto"/>
          <w:color w:val="auto"/>
        </w:rPr>
        <w:t>Delivery of Shares</w:t>
      </w:r>
      <w:r>
        <w:rPr>
          <w:rFonts w:ascii="Arial" w:cs="Arial" w:eastAsia="Arial" w:hAnsi="Arial"/>
          <w:sz w:val="19"/>
          <w:szCs w:val="19"/>
          <w:color w:val="auto"/>
        </w:rPr>
        <w:t>. The Company shall notify Grantee that a Vesting Date with respect to Restricted Stock Units has occurred. Within ten (10) business days of a Vesting Date, the Company shall, without payment from Grantee, satisfy its obligations to (a) pay the Dividend Equivalent Amount (if any) and (b) deliver Shares issuable under the Plan by arranging for the recording of Grantee’s ownership of Shares issuable under the Plan on a book entry recordkeeping system maintained on behalf of the Company without any legend or restrictions, except for such restrictions as may be imposed by the Committee, in its sole judgment, under Paragraph 7, provided that the Dividend Equivalent Amount (if any) will not be paid and/or Shares will not be delivered to Grantee until appropriate arrangements have been made with the Employer for the withholding of any taxes which may be due with respect to such payment of the Dividend Equivalent Amount and/or delivery of such Shares. The Company may condition delivery of certificates for Shares upon the prior receipt from Grantee of any undertakings which it may determine are required to assure that the certificates are being issued in compliance with federal and state securities laws. The right to payment of any fractional Shares shall be satisfied in cash, measured by the product of the fractional amount times the Fair Market Value of a Share on the Vesting Date, as determined by the Committee.</w:t>
      </w:r>
    </w:p>
    <w:p>
      <w:pPr>
        <w:spacing w:after="0" w:line="8" w:lineRule="exact"/>
        <w:rPr>
          <w:rFonts w:ascii="Arial" w:cs="Arial" w:eastAsia="Arial" w:hAnsi="Arial"/>
          <w:sz w:val="16"/>
          <w:szCs w:val="16"/>
          <w:color w:val="auto"/>
        </w:rPr>
      </w:pPr>
    </w:p>
    <w:p>
      <w:pPr>
        <w:ind w:right="40" w:firstLine="1305"/>
        <w:spacing w:after="0" w:line="249" w:lineRule="auto"/>
        <w:tabs>
          <w:tab w:leader="none" w:pos="2080" w:val="left"/>
        </w:tabs>
        <w:numPr>
          <w:ilvl w:val="0"/>
          <w:numId w:val="65"/>
        </w:numPr>
        <w:rPr>
          <w:rFonts w:ascii="Arial" w:cs="Arial" w:eastAsia="Arial" w:hAnsi="Arial"/>
          <w:sz w:val="18"/>
          <w:szCs w:val="18"/>
          <w:color w:val="auto"/>
        </w:rPr>
      </w:pPr>
      <w:r>
        <w:rPr>
          <w:rFonts w:ascii="Arial" w:cs="Arial" w:eastAsia="Arial" w:hAnsi="Arial"/>
          <w:sz w:val="22"/>
          <w:szCs w:val="22"/>
          <w:u w:val="single" w:color="auto"/>
          <w:color w:val="auto"/>
        </w:rPr>
        <w:t>Award Not to Affect Employment</w:t>
      </w:r>
      <w:r>
        <w:rPr>
          <w:rFonts w:ascii="Arial" w:cs="Arial" w:eastAsia="Arial" w:hAnsi="Arial"/>
          <w:sz w:val="22"/>
          <w:szCs w:val="22"/>
          <w:color w:val="auto"/>
        </w:rPr>
        <w:t>. The Award granted hereunder shall not confer upon Grantee any right to continue in the employment of the Company or any subsidiary or affiliate of the Company.</w:t>
      </w:r>
    </w:p>
    <w:p>
      <w:pPr>
        <w:spacing w:after="0" w:line="1" w:lineRule="exact"/>
        <w:rPr>
          <w:rFonts w:ascii="Arial" w:cs="Arial" w:eastAsia="Arial" w:hAnsi="Arial"/>
          <w:sz w:val="18"/>
          <w:szCs w:val="18"/>
          <w:color w:val="auto"/>
        </w:rPr>
      </w:pPr>
    </w:p>
    <w:p>
      <w:pPr>
        <w:ind w:left="2180" w:hanging="875"/>
        <w:spacing w:after="0"/>
        <w:tabs>
          <w:tab w:leader="none" w:pos="2180" w:val="left"/>
        </w:tabs>
        <w:numPr>
          <w:ilvl w:val="0"/>
          <w:numId w:val="65"/>
        </w:numPr>
        <w:rPr>
          <w:rFonts w:ascii="Arial" w:cs="Arial" w:eastAsia="Arial" w:hAnsi="Arial"/>
          <w:sz w:val="18"/>
          <w:szCs w:val="18"/>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ind w:right="60" w:firstLine="1953"/>
        <w:spacing w:after="0" w:line="249" w:lineRule="auto"/>
        <w:tabs>
          <w:tab w:leader="none" w:pos="2793" w:val="left"/>
        </w:tabs>
        <w:numPr>
          <w:ilvl w:val="1"/>
          <w:numId w:val="65"/>
        </w:numPr>
        <w:rPr>
          <w:rFonts w:ascii="Arial" w:cs="Arial" w:eastAsia="Arial" w:hAnsi="Arial"/>
          <w:sz w:val="18"/>
          <w:szCs w:val="18"/>
          <w:color w:val="auto"/>
        </w:rPr>
      </w:pPr>
      <w:r>
        <w:rPr>
          <w:rFonts w:ascii="Arial" w:cs="Arial" w:eastAsia="Arial" w:hAnsi="Arial"/>
          <w:sz w:val="22"/>
          <w:szCs w:val="22"/>
          <w:color w:val="auto"/>
        </w:rPr>
        <w:t>The Award granted hereunder is subject to the approval of the Plan by the shareholders of the Company to the extent that such approval (i) is required pursuant to the By-Laws of the National Association of Securities Dealers, Inc., and the schedules thereto, in connection with issuers whose securities are included in the NASDAQ National Market System, or (ii) is required to satisfy the conditions of Rule 16b-3.</w:t>
      </w:r>
    </w:p>
    <w:p>
      <w:pPr>
        <w:spacing w:after="0" w:line="3" w:lineRule="exact"/>
        <w:rPr>
          <w:rFonts w:ascii="Arial" w:cs="Arial" w:eastAsia="Arial" w:hAnsi="Arial"/>
          <w:sz w:val="18"/>
          <w:szCs w:val="18"/>
          <w:color w:val="auto"/>
        </w:rPr>
      </w:pPr>
    </w:p>
    <w:p>
      <w:pPr>
        <w:ind w:right="260" w:firstLine="1953"/>
        <w:spacing w:after="0" w:line="289" w:lineRule="auto"/>
        <w:tabs>
          <w:tab w:leader="none" w:pos="2803" w:val="left"/>
        </w:tabs>
        <w:numPr>
          <w:ilvl w:val="1"/>
          <w:numId w:val="65"/>
        </w:numPr>
        <w:rPr>
          <w:rFonts w:ascii="Arial" w:cs="Arial" w:eastAsia="Arial" w:hAnsi="Arial"/>
          <w:sz w:val="16"/>
          <w:szCs w:val="16"/>
          <w:color w:val="auto"/>
        </w:rPr>
      </w:pPr>
      <w:r>
        <w:rPr>
          <w:rFonts w:ascii="Arial" w:cs="Arial" w:eastAsia="Arial" w:hAnsi="Arial"/>
          <w:sz w:val="19"/>
          <w:szCs w:val="19"/>
          <w:color w:val="auto"/>
        </w:rPr>
        <w:t>The address for Grantee to which notice, demands and other communications to be given or delivered under or by reason of the provisions hereof shall be Grantee’s address as reflected in the Company’s personnel records.</w:t>
      </w:r>
    </w:p>
    <w:p>
      <w:pPr>
        <w:ind w:right="220" w:firstLine="1953"/>
        <w:spacing w:after="0" w:line="259" w:lineRule="auto"/>
        <w:tabs>
          <w:tab w:leader="none" w:pos="2793" w:val="left"/>
        </w:tabs>
        <w:numPr>
          <w:ilvl w:val="1"/>
          <w:numId w:val="65"/>
        </w:numPr>
        <w:rPr>
          <w:rFonts w:ascii="Arial" w:cs="Arial" w:eastAsia="Arial" w:hAnsi="Arial"/>
          <w:sz w:val="18"/>
          <w:szCs w:val="18"/>
          <w:color w:val="auto"/>
        </w:rPr>
      </w:pPr>
      <w:r>
        <w:rPr>
          <w:rFonts w:ascii="Arial" w:cs="Arial" w:eastAsia="Arial" w:hAnsi="Arial"/>
          <w:sz w:val="22"/>
          <w:szCs w:val="22"/>
          <w:color w:val="auto"/>
        </w:rPr>
        <w:t>The validity, performance, construction and effect of this Award shall be governed by the laws of the Commonwealth of Pennsylvania, without giving effect to principles of conflicts of law.</w:t>
      </w:r>
    </w:p>
    <w:p>
      <w:pPr>
        <w:spacing w:after="0" w:line="11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COMCAST CORPORATION</w:t>
      </w:r>
    </w:p>
    <w:p>
      <w:pPr>
        <w:spacing w:after="0" w:line="6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w:t>
      </w:r>
    </w:p>
    <w:p>
      <w:pPr>
        <w:spacing w:after="0" w:line="63"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ATTEST:</w:t>
      </w:r>
    </w:p>
    <w:p>
      <w:pPr>
        <w:sectPr>
          <w:pgSz w:w="11900" w:h="16838" w:orient="portrait"/>
          <w:cols w:equalWidth="0" w:num="1">
            <w:col w:w="11420"/>
          </w:cols>
          <w:pgMar w:left="240" w:top="807" w:right="239" w:bottom="1440" w:gutter="0" w:footer="0" w:header="0"/>
        </w:sectPr>
      </w:pPr>
    </w:p>
    <w:bookmarkStart w:id="86" w:name="page87"/>
    <w:bookmarkEnd w:id="86"/>
    <w:p>
      <w:pPr>
        <w:jc w:val="center"/>
        <w:ind w:right="-59"/>
        <w:spacing w:after="0"/>
        <w:rPr>
          <w:sz w:val="20"/>
          <w:szCs w:val="20"/>
          <w:color w:val="auto"/>
        </w:rPr>
      </w:pPr>
      <w:r>
        <w:rPr>
          <w:rFonts w:ascii="Arial" w:cs="Arial" w:eastAsia="Arial" w:hAnsi="Arial"/>
          <w:sz w:val="22"/>
          <w:szCs w:val="22"/>
          <w:b w:val="1"/>
          <w:bCs w:val="1"/>
          <w:color w:val="auto"/>
        </w:rPr>
        <w:t>LONG-TERM INCENTIVE AWARDS SUMMARY SCHEDULE</w:t>
      </w:r>
    </w:p>
    <w:p>
      <w:pPr>
        <w:spacing w:after="0" w:line="230" w:lineRule="exact"/>
        <w:rPr>
          <w:sz w:val="20"/>
          <w:szCs w:val="20"/>
          <w:color w:val="auto"/>
        </w:rPr>
      </w:pPr>
    </w:p>
    <w:p>
      <w:pPr>
        <w:spacing w:after="0" w:line="279" w:lineRule="auto"/>
        <w:rPr>
          <w:sz w:val="20"/>
          <w:szCs w:val="20"/>
          <w:color w:val="auto"/>
        </w:rPr>
      </w:pPr>
      <w:r>
        <w:rPr>
          <w:rFonts w:ascii="Arial" w:cs="Arial" w:eastAsia="Arial" w:hAnsi="Arial"/>
          <w:sz w:val="20"/>
          <w:szCs w:val="20"/>
          <w:color w:val="auto"/>
        </w:rPr>
        <w:t xml:space="preserve">This Long-Term Incentive Awards Summary Schedule (this “Schedule) provides certain information related to Restricted Stock Units you were granted by Comcast Corporation on </w:t>
      </w:r>
      <w:r>
        <w:rPr>
          <w:rFonts w:ascii="Arial" w:cs="Arial" w:eastAsia="Arial" w:hAnsi="Arial"/>
          <w:sz w:val="21"/>
          <w:szCs w:val="21"/>
          <w:color w:val="auto"/>
        </w:rPr>
        <w:t>[________]</w:t>
      </w:r>
      <w:r>
        <w:rPr>
          <w:rFonts w:ascii="Arial" w:cs="Arial" w:eastAsia="Arial" w:hAnsi="Arial"/>
          <w:sz w:val="20"/>
          <w:szCs w:val="20"/>
          <w:color w:val="auto"/>
        </w:rPr>
        <w:t xml:space="preserve"> (the “Date of Grant”). </w:t>
      </w:r>
      <w:r>
        <w:rPr>
          <w:rFonts w:ascii="Arial" w:cs="Arial" w:eastAsia="Arial" w:hAnsi="Arial"/>
          <w:sz w:val="20"/>
          <w:szCs w:val="20"/>
          <w:b w:val="1"/>
          <w:bCs w:val="1"/>
          <w:color w:val="auto"/>
        </w:rPr>
        <w:t>This Schedule is intended to be, and shall at all times be</w:t>
      </w:r>
      <w:r>
        <w:rPr>
          <w:rFonts w:ascii="Arial" w:cs="Arial" w:eastAsia="Arial" w:hAnsi="Arial"/>
          <w:sz w:val="20"/>
          <w:szCs w:val="20"/>
          <w:color w:val="auto"/>
        </w:rPr>
        <w:t xml:space="preserve"> </w:t>
      </w:r>
      <w:r>
        <w:rPr>
          <w:rFonts w:ascii="Arial" w:cs="Arial" w:eastAsia="Arial" w:hAnsi="Arial"/>
          <w:sz w:val="20"/>
          <w:szCs w:val="20"/>
          <w:b w:val="1"/>
          <w:bCs w:val="1"/>
          <w:color w:val="auto"/>
        </w:rPr>
        <w:t>interpreted as, a part of your Comcast Corporation Restricted Stock Unit Award document.</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Restricted Stock Unit Award</w:t>
      </w:r>
    </w:p>
    <w:p>
      <w:pPr>
        <w:spacing w:after="0" w:line="354" w:lineRule="exact"/>
        <w:rPr>
          <w:sz w:val="20"/>
          <w:szCs w:val="20"/>
          <w:color w:val="auto"/>
        </w:rPr>
      </w:pPr>
    </w:p>
    <w:tbl>
      <w:tblPr>
        <w:tblLayout w:type="fixed"/>
        <w:tblInd w:w="770" w:type="dxa"/>
        <w:tblCellMar>
          <w:top w:w="0" w:type="dxa"/>
          <w:left w:w="0" w:type="dxa"/>
          <w:bottom w:w="0" w:type="dxa"/>
          <w:right w:w="0" w:type="dxa"/>
        </w:tblCellMar>
      </w:tblPr>
      <w:tr>
        <w:trPr>
          <w:trHeight w:val="274"/>
        </w:trPr>
        <w:tc>
          <w:tcPr>
            <w:tcW w:w="310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Arial" w:cs="Arial" w:eastAsia="Arial" w:hAnsi="Arial"/>
                <w:sz w:val="20"/>
                <w:szCs w:val="20"/>
                <w:color w:val="auto"/>
              </w:rPr>
              <w:t>Grantee:</w:t>
            </w:r>
          </w:p>
        </w:tc>
        <w:tc>
          <w:tcPr>
            <w:tcW w:w="11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[________]</w:t>
            </w:r>
          </w:p>
        </w:tc>
        <w:tc>
          <w:tcPr>
            <w:tcW w:w="568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3100" w:type="dxa"/>
            <w:vAlign w:val="bottom"/>
            <w:tcBorders>
              <w:left w:val="single" w:sz="8" w:color="auto"/>
              <w:bottom w:val="single" w:sz="8" w:color="auto"/>
              <w:right w:val="single" w:sz="8" w:color="auto"/>
            </w:tcBorders>
            <w:gridSpan w:val="2"/>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5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10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20"/>
                <w:szCs w:val="20"/>
                <w:color w:val="auto"/>
              </w:rPr>
              <w:t>Date of Grant:</w:t>
            </w: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[________]</w:t>
            </w:r>
          </w:p>
        </w:tc>
        <w:tc>
          <w:tcPr>
            <w:tcW w:w="56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100" w:type="dxa"/>
            <w:vAlign w:val="bottom"/>
            <w:tcBorders>
              <w:left w:val="single" w:sz="8" w:color="auto"/>
              <w:bottom w:val="single" w:sz="8" w:color="auto"/>
              <w:right w:val="single" w:sz="8" w:color="auto"/>
            </w:tcBorders>
            <w:gridSpan w:val="2"/>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5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10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20"/>
                <w:szCs w:val="20"/>
                <w:color w:val="auto"/>
              </w:rPr>
              <w:t>Common Stock:</w:t>
            </w:r>
          </w:p>
        </w:tc>
        <w:tc>
          <w:tcPr>
            <w:tcW w:w="686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Comcast Corporation Class A Common Stock</w:t>
            </w:r>
          </w:p>
        </w:tc>
        <w:tc>
          <w:tcPr>
            <w:tcW w:w="0" w:type="dxa"/>
            <w:vAlign w:val="bottom"/>
          </w:tcPr>
          <w:p>
            <w:pPr>
              <w:spacing w:after="0"/>
              <w:rPr>
                <w:sz w:val="1"/>
                <w:szCs w:val="1"/>
                <w:color w:val="auto"/>
              </w:rPr>
            </w:pPr>
          </w:p>
        </w:tc>
      </w:tr>
      <w:tr>
        <w:trPr>
          <w:trHeight w:val="23"/>
        </w:trPr>
        <w:tc>
          <w:tcPr>
            <w:tcW w:w="3100" w:type="dxa"/>
            <w:vAlign w:val="bottom"/>
            <w:tcBorders>
              <w:left w:val="single" w:sz="8" w:color="auto"/>
              <w:bottom w:val="single" w:sz="8" w:color="auto"/>
              <w:right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10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20"/>
                <w:szCs w:val="20"/>
                <w:color w:val="auto"/>
              </w:rPr>
              <w:t>Number of Restricted Stock Units</w:t>
            </w:r>
          </w:p>
        </w:tc>
        <w:tc>
          <w:tcPr>
            <w:tcW w:w="1180" w:type="dxa"/>
            <w:vAlign w:val="bottom"/>
            <w:gridSpan w:val="2"/>
            <w:vMerge w:val="restart"/>
          </w:tcPr>
          <w:p>
            <w:pPr>
              <w:ind w:left="20"/>
              <w:spacing w:after="0"/>
              <w:rPr>
                <w:sz w:val="20"/>
                <w:szCs w:val="20"/>
                <w:color w:val="auto"/>
              </w:rPr>
            </w:pPr>
            <w:r>
              <w:rPr>
                <w:rFonts w:ascii="Arial" w:cs="Arial" w:eastAsia="Arial" w:hAnsi="Arial"/>
                <w:sz w:val="18"/>
                <w:szCs w:val="18"/>
                <w:color w:val="auto"/>
              </w:rPr>
              <w:t>[________]</w:t>
            </w:r>
          </w:p>
        </w:tc>
        <w:tc>
          <w:tcPr>
            <w:tcW w:w="5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5"/>
        </w:trPr>
        <w:tc>
          <w:tcPr>
            <w:tcW w:w="3100" w:type="dxa"/>
            <w:vAlign w:val="bottom"/>
            <w:tcBorders>
              <w:left w:val="single" w:sz="8" w:color="auto"/>
              <w:right w:val="single" w:sz="8" w:color="auto"/>
            </w:tcBorders>
            <w:gridSpan w:val="2"/>
            <w:vMerge w:val="restart"/>
          </w:tcPr>
          <w:p>
            <w:pPr>
              <w:ind w:left="20"/>
              <w:spacing w:after="0"/>
              <w:rPr>
                <w:sz w:val="20"/>
                <w:szCs w:val="20"/>
                <w:color w:val="auto"/>
              </w:rPr>
            </w:pPr>
            <w:r>
              <w:rPr>
                <w:rFonts w:ascii="Arial" w:cs="Arial" w:eastAsia="Arial" w:hAnsi="Arial"/>
                <w:sz w:val="20"/>
                <w:szCs w:val="20"/>
                <w:color w:val="auto"/>
              </w:rPr>
              <w:t>Granted:</w:t>
            </w:r>
          </w:p>
        </w:tc>
        <w:tc>
          <w:tcPr>
            <w:tcW w:w="1180" w:type="dxa"/>
            <w:vAlign w:val="bottom"/>
            <w:gridSpan w:val="2"/>
            <w:vMerge w:val="continue"/>
          </w:tcPr>
          <w:p>
            <w:pPr>
              <w:spacing w:after="0"/>
              <w:rPr>
                <w:sz w:val="10"/>
                <w:szCs w:val="10"/>
                <w:color w:val="auto"/>
              </w:rPr>
            </w:pPr>
          </w:p>
        </w:tc>
        <w:tc>
          <w:tcPr>
            <w:tcW w:w="56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100" w:type="dxa"/>
            <w:vAlign w:val="bottom"/>
            <w:tcBorders>
              <w:left w:val="single" w:sz="8" w:color="auto"/>
              <w:right w:val="single" w:sz="8" w:color="auto"/>
            </w:tcBorders>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440" w:type="dxa"/>
            <w:vAlign w:val="bottom"/>
            <w:tcBorders>
              <w:left w:val="single" w:sz="8" w:color="auto"/>
              <w:bottom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2"/>
        </w:trPr>
        <w:tc>
          <w:tcPr>
            <w:tcW w:w="440" w:type="dxa"/>
            <w:vAlign w:val="bottom"/>
            <w:tcBorders>
              <w:left w:val="single" w:sz="8" w:color="auto"/>
            </w:tcBorders>
            <w:vMerge w:val="restart"/>
          </w:tcPr>
          <w:p>
            <w:pPr>
              <w:ind w:left="20"/>
              <w:spacing w:after="0"/>
              <w:rPr>
                <w:sz w:val="20"/>
                <w:szCs w:val="20"/>
                <w:color w:val="auto"/>
              </w:rPr>
            </w:pPr>
            <w:r>
              <w:rPr>
                <w:rFonts w:ascii="Arial" w:cs="Arial" w:eastAsia="Arial" w:hAnsi="Arial"/>
                <w:sz w:val="22"/>
                <w:szCs w:val="22"/>
                <w:color w:val="auto"/>
              </w:rPr>
              <w:t>[__]</w:t>
            </w:r>
          </w:p>
        </w:tc>
        <w:tc>
          <w:tcPr>
            <w:tcW w:w="2660" w:type="dxa"/>
            <w:vAlign w:val="bottom"/>
            <w:tcBorders>
              <w:right w:val="single" w:sz="8" w:color="auto"/>
            </w:tcBorders>
            <w:vMerge w:val="restart"/>
          </w:tcPr>
          <w:p>
            <w:pPr>
              <w:ind w:left="40"/>
              <w:spacing w:after="0"/>
              <w:rPr>
                <w:sz w:val="20"/>
                <w:szCs w:val="20"/>
                <w:color w:val="auto"/>
              </w:rPr>
            </w:pPr>
            <w:r>
              <w:rPr>
                <w:rFonts w:ascii="Arial" w:cs="Arial" w:eastAsia="Arial" w:hAnsi="Arial"/>
                <w:sz w:val="20"/>
                <w:szCs w:val="20"/>
                <w:color w:val="auto"/>
              </w:rPr>
              <w:t>RSUs</w:t>
            </w:r>
          </w:p>
        </w:tc>
        <w:tc>
          <w:tcPr>
            <w:tcW w:w="620" w:type="dxa"/>
            <w:vAlign w:val="bottom"/>
          </w:tcPr>
          <w:p>
            <w:pPr>
              <w:spacing w:after="0"/>
              <w:rPr>
                <w:sz w:val="24"/>
                <w:szCs w:val="24"/>
                <w:color w:val="auto"/>
              </w:rPr>
            </w:pPr>
          </w:p>
        </w:tc>
        <w:tc>
          <w:tcPr>
            <w:tcW w:w="6240" w:type="dxa"/>
            <w:vAlign w:val="bottom"/>
            <w:tcBorders>
              <w:right w:val="single" w:sz="8" w:color="auto"/>
            </w:tcBorders>
            <w:gridSpan w:val="2"/>
          </w:tcPr>
          <w:p>
            <w:pPr>
              <w:ind w:left="120"/>
              <w:spacing w:after="0"/>
              <w:rPr>
                <w:sz w:val="20"/>
                <w:szCs w:val="20"/>
                <w:color w:val="auto"/>
              </w:rPr>
            </w:pPr>
            <w:r>
              <w:rPr>
                <w:rFonts w:ascii="Arial" w:cs="Arial" w:eastAsia="Arial" w:hAnsi="Arial"/>
                <w:sz w:val="22"/>
                <w:szCs w:val="22"/>
                <w:color w:val="auto"/>
              </w:rPr>
              <w:t>[________]</w:t>
            </w:r>
            <w:r>
              <w:rPr>
                <w:rFonts w:ascii="Arial" w:cs="Arial" w:eastAsia="Arial" w:hAnsi="Arial"/>
                <w:sz w:val="19"/>
                <w:szCs w:val="19"/>
                <w:color w:val="auto"/>
              </w:rPr>
              <w:t>of the Restricted Stock Units.</w:t>
            </w:r>
          </w:p>
        </w:tc>
        <w:tc>
          <w:tcPr>
            <w:tcW w:w="0" w:type="dxa"/>
            <w:vAlign w:val="bottom"/>
          </w:tcPr>
          <w:p>
            <w:pPr>
              <w:spacing w:after="0"/>
              <w:rPr>
                <w:sz w:val="1"/>
                <w:szCs w:val="1"/>
                <w:color w:val="auto"/>
              </w:rPr>
            </w:pPr>
          </w:p>
        </w:tc>
      </w:tr>
      <w:tr>
        <w:trPr>
          <w:trHeight w:val="119"/>
        </w:trPr>
        <w:tc>
          <w:tcPr>
            <w:tcW w:w="440" w:type="dxa"/>
            <w:vAlign w:val="bottom"/>
            <w:tcBorders>
              <w:left w:val="single" w:sz="8" w:color="auto"/>
              <w:bottom w:val="single" w:sz="8" w:color="auto"/>
            </w:tcBorders>
            <w:vMerge w:val="continue"/>
          </w:tcPr>
          <w:p>
            <w:pPr>
              <w:spacing w:after="0"/>
              <w:rPr>
                <w:sz w:val="10"/>
                <w:szCs w:val="10"/>
                <w:color w:val="auto"/>
              </w:rPr>
            </w:pPr>
          </w:p>
        </w:tc>
        <w:tc>
          <w:tcPr>
            <w:tcW w:w="2660" w:type="dxa"/>
            <w:vAlign w:val="bottom"/>
            <w:tcBorders>
              <w:bottom w:val="single" w:sz="8" w:color="auto"/>
              <w:right w:val="single" w:sz="8" w:color="auto"/>
            </w:tcBorders>
            <w:vMerge w:val="continue"/>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56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88"/>
        </w:trPr>
        <w:tc>
          <w:tcPr>
            <w:tcW w:w="440" w:type="dxa"/>
            <w:vAlign w:val="bottom"/>
            <w:tcBorders>
              <w:left w:val="single" w:sz="8" w:color="auto"/>
            </w:tcBorders>
            <w:vMerge w:val="restart"/>
          </w:tcPr>
          <w:p>
            <w:pPr>
              <w:ind w:left="20"/>
              <w:spacing w:after="0"/>
              <w:rPr>
                <w:sz w:val="20"/>
                <w:szCs w:val="20"/>
                <w:color w:val="auto"/>
              </w:rPr>
            </w:pPr>
            <w:r>
              <w:rPr>
                <w:rFonts w:ascii="Arial" w:cs="Arial" w:eastAsia="Arial" w:hAnsi="Arial"/>
                <w:sz w:val="22"/>
                <w:szCs w:val="22"/>
                <w:color w:val="auto"/>
              </w:rPr>
              <w:t>[__]</w:t>
            </w:r>
          </w:p>
        </w:tc>
        <w:tc>
          <w:tcPr>
            <w:tcW w:w="2660" w:type="dxa"/>
            <w:vAlign w:val="bottom"/>
            <w:tcBorders>
              <w:right w:val="single" w:sz="8" w:color="auto"/>
            </w:tcBorders>
            <w:vMerge w:val="restart"/>
          </w:tcPr>
          <w:p>
            <w:pPr>
              <w:ind w:left="40"/>
              <w:spacing w:after="0"/>
              <w:rPr>
                <w:sz w:val="20"/>
                <w:szCs w:val="20"/>
                <w:color w:val="auto"/>
              </w:rPr>
            </w:pPr>
            <w:r>
              <w:rPr>
                <w:rFonts w:ascii="Arial" w:cs="Arial" w:eastAsia="Arial" w:hAnsi="Arial"/>
                <w:sz w:val="20"/>
                <w:szCs w:val="20"/>
                <w:color w:val="auto"/>
              </w:rPr>
              <w:t>RSUs</w:t>
            </w:r>
          </w:p>
        </w:tc>
        <w:tc>
          <w:tcPr>
            <w:tcW w:w="620" w:type="dxa"/>
            <w:vAlign w:val="bottom"/>
          </w:tcPr>
          <w:p>
            <w:pPr>
              <w:spacing w:after="0"/>
              <w:rPr>
                <w:sz w:val="24"/>
                <w:szCs w:val="24"/>
                <w:color w:val="auto"/>
              </w:rPr>
            </w:pPr>
          </w:p>
        </w:tc>
        <w:tc>
          <w:tcPr>
            <w:tcW w:w="6240" w:type="dxa"/>
            <w:vAlign w:val="bottom"/>
            <w:tcBorders>
              <w:right w:val="single" w:sz="8" w:color="auto"/>
            </w:tcBorders>
            <w:gridSpan w:val="2"/>
          </w:tcPr>
          <w:p>
            <w:pPr>
              <w:ind w:left="120"/>
              <w:spacing w:after="0"/>
              <w:rPr>
                <w:sz w:val="20"/>
                <w:szCs w:val="20"/>
                <w:color w:val="auto"/>
              </w:rPr>
            </w:pPr>
            <w:r>
              <w:rPr>
                <w:rFonts w:ascii="Arial" w:cs="Arial" w:eastAsia="Arial" w:hAnsi="Arial"/>
                <w:sz w:val="22"/>
                <w:szCs w:val="22"/>
                <w:color w:val="auto"/>
              </w:rPr>
              <w:t>[________]</w:t>
            </w:r>
            <w:r>
              <w:rPr>
                <w:rFonts w:ascii="Arial" w:cs="Arial" w:eastAsia="Arial" w:hAnsi="Arial"/>
                <w:sz w:val="19"/>
                <w:szCs w:val="19"/>
                <w:color w:val="auto"/>
              </w:rPr>
              <w:t>of the Restricted Stock Units.</w:t>
            </w:r>
          </w:p>
        </w:tc>
        <w:tc>
          <w:tcPr>
            <w:tcW w:w="0" w:type="dxa"/>
            <w:vAlign w:val="bottom"/>
          </w:tcPr>
          <w:p>
            <w:pPr>
              <w:spacing w:after="0"/>
              <w:rPr>
                <w:sz w:val="1"/>
                <w:szCs w:val="1"/>
                <w:color w:val="auto"/>
              </w:rPr>
            </w:pPr>
          </w:p>
        </w:tc>
      </w:tr>
      <w:tr>
        <w:trPr>
          <w:trHeight w:val="119"/>
        </w:trPr>
        <w:tc>
          <w:tcPr>
            <w:tcW w:w="440" w:type="dxa"/>
            <w:vAlign w:val="bottom"/>
            <w:tcBorders>
              <w:left w:val="single" w:sz="8" w:color="auto"/>
              <w:bottom w:val="single" w:sz="8" w:color="auto"/>
            </w:tcBorders>
            <w:vMerge w:val="continue"/>
          </w:tcPr>
          <w:p>
            <w:pPr>
              <w:spacing w:after="0"/>
              <w:rPr>
                <w:sz w:val="10"/>
                <w:szCs w:val="10"/>
                <w:color w:val="auto"/>
              </w:rPr>
            </w:pPr>
          </w:p>
        </w:tc>
        <w:tc>
          <w:tcPr>
            <w:tcW w:w="2660" w:type="dxa"/>
            <w:vAlign w:val="bottom"/>
            <w:tcBorders>
              <w:bottom w:val="single" w:sz="8" w:color="auto"/>
              <w:right w:val="single" w:sz="8" w:color="auto"/>
            </w:tcBorders>
            <w:vMerge w:val="continue"/>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56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88"/>
        </w:trPr>
        <w:tc>
          <w:tcPr>
            <w:tcW w:w="440" w:type="dxa"/>
            <w:vAlign w:val="bottom"/>
            <w:tcBorders>
              <w:left w:val="single" w:sz="8" w:color="auto"/>
            </w:tcBorders>
            <w:vMerge w:val="restart"/>
          </w:tcPr>
          <w:p>
            <w:pPr>
              <w:ind w:left="20"/>
              <w:spacing w:after="0"/>
              <w:rPr>
                <w:sz w:val="20"/>
                <w:szCs w:val="20"/>
                <w:color w:val="auto"/>
              </w:rPr>
            </w:pPr>
            <w:r>
              <w:rPr>
                <w:rFonts w:ascii="Arial" w:cs="Arial" w:eastAsia="Arial" w:hAnsi="Arial"/>
                <w:sz w:val="22"/>
                <w:szCs w:val="22"/>
                <w:color w:val="auto"/>
              </w:rPr>
              <w:t>[__]</w:t>
            </w:r>
          </w:p>
        </w:tc>
        <w:tc>
          <w:tcPr>
            <w:tcW w:w="2660" w:type="dxa"/>
            <w:vAlign w:val="bottom"/>
            <w:tcBorders>
              <w:right w:val="single" w:sz="8" w:color="auto"/>
            </w:tcBorders>
            <w:vMerge w:val="restart"/>
          </w:tcPr>
          <w:p>
            <w:pPr>
              <w:ind w:left="40"/>
              <w:spacing w:after="0"/>
              <w:rPr>
                <w:sz w:val="20"/>
                <w:szCs w:val="20"/>
                <w:color w:val="auto"/>
              </w:rPr>
            </w:pPr>
            <w:r>
              <w:rPr>
                <w:rFonts w:ascii="Arial" w:cs="Arial" w:eastAsia="Arial" w:hAnsi="Arial"/>
                <w:sz w:val="20"/>
                <w:szCs w:val="20"/>
                <w:color w:val="auto"/>
              </w:rPr>
              <w:t>RSUs</w:t>
            </w:r>
          </w:p>
        </w:tc>
        <w:tc>
          <w:tcPr>
            <w:tcW w:w="620" w:type="dxa"/>
            <w:vAlign w:val="bottom"/>
          </w:tcPr>
          <w:p>
            <w:pPr>
              <w:spacing w:after="0"/>
              <w:rPr>
                <w:sz w:val="24"/>
                <w:szCs w:val="24"/>
                <w:color w:val="auto"/>
              </w:rPr>
            </w:pPr>
          </w:p>
        </w:tc>
        <w:tc>
          <w:tcPr>
            <w:tcW w:w="6240" w:type="dxa"/>
            <w:vAlign w:val="bottom"/>
            <w:tcBorders>
              <w:right w:val="single" w:sz="8" w:color="auto"/>
            </w:tcBorders>
            <w:gridSpan w:val="2"/>
          </w:tcPr>
          <w:p>
            <w:pPr>
              <w:ind w:left="120"/>
              <w:spacing w:after="0"/>
              <w:rPr>
                <w:sz w:val="20"/>
                <w:szCs w:val="20"/>
                <w:color w:val="auto"/>
              </w:rPr>
            </w:pPr>
            <w:r>
              <w:rPr>
                <w:rFonts w:ascii="Arial" w:cs="Arial" w:eastAsia="Arial" w:hAnsi="Arial"/>
                <w:sz w:val="22"/>
                <w:szCs w:val="22"/>
                <w:color w:val="auto"/>
              </w:rPr>
              <w:t>[________]</w:t>
            </w:r>
            <w:r>
              <w:rPr>
                <w:rFonts w:ascii="Arial" w:cs="Arial" w:eastAsia="Arial" w:hAnsi="Arial"/>
                <w:sz w:val="19"/>
                <w:szCs w:val="19"/>
                <w:color w:val="auto"/>
              </w:rPr>
              <w:t>of the Restricted Stock Units.</w:t>
            </w:r>
          </w:p>
        </w:tc>
        <w:tc>
          <w:tcPr>
            <w:tcW w:w="0" w:type="dxa"/>
            <w:vAlign w:val="bottom"/>
          </w:tcPr>
          <w:p>
            <w:pPr>
              <w:spacing w:after="0"/>
              <w:rPr>
                <w:sz w:val="1"/>
                <w:szCs w:val="1"/>
                <w:color w:val="auto"/>
              </w:rPr>
            </w:pPr>
          </w:p>
        </w:tc>
      </w:tr>
      <w:tr>
        <w:trPr>
          <w:trHeight w:val="119"/>
        </w:trPr>
        <w:tc>
          <w:tcPr>
            <w:tcW w:w="440" w:type="dxa"/>
            <w:vAlign w:val="bottom"/>
            <w:tcBorders>
              <w:left w:val="single" w:sz="8" w:color="auto"/>
              <w:bottom w:val="single" w:sz="8" w:color="auto"/>
            </w:tcBorders>
            <w:vMerge w:val="continue"/>
          </w:tcPr>
          <w:p>
            <w:pPr>
              <w:spacing w:after="0"/>
              <w:rPr>
                <w:sz w:val="10"/>
                <w:szCs w:val="10"/>
                <w:color w:val="auto"/>
              </w:rPr>
            </w:pPr>
          </w:p>
        </w:tc>
        <w:tc>
          <w:tcPr>
            <w:tcW w:w="2660" w:type="dxa"/>
            <w:vAlign w:val="bottom"/>
            <w:tcBorders>
              <w:bottom w:val="single" w:sz="8" w:color="auto"/>
              <w:right w:val="single" w:sz="8" w:color="auto"/>
            </w:tcBorders>
            <w:vMerge w:val="continue"/>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56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440" w:type="dxa"/>
            <w:vAlign w:val="bottom"/>
            <w:tcBorders>
              <w:lef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20"/>
                <w:szCs w:val="20"/>
                <w:color w:val="auto"/>
              </w:rPr>
              <w:t>(1) [</w:t>
            </w:r>
          </w:p>
        </w:tc>
        <w:tc>
          <w:tcPr>
            <w:tcW w:w="624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 RSUs</w:t>
            </w:r>
          </w:p>
        </w:tc>
        <w:tc>
          <w:tcPr>
            <w:tcW w:w="0" w:type="dxa"/>
            <w:vAlign w:val="bottom"/>
          </w:tcPr>
          <w:p>
            <w:pPr>
              <w:spacing w:after="0"/>
              <w:rPr>
                <w:sz w:val="1"/>
                <w:szCs w:val="1"/>
                <w:color w:val="auto"/>
              </w:rPr>
            </w:pPr>
          </w:p>
        </w:tc>
      </w:tr>
      <w:tr>
        <w:trPr>
          <w:trHeight w:val="20"/>
        </w:trPr>
        <w:tc>
          <w:tcPr>
            <w:tcW w:w="440" w:type="dxa"/>
            <w:vAlign w:val="bottom"/>
            <w:tcBorders>
              <w:left w:val="single" w:sz="8" w:color="auto"/>
            </w:tcBorders>
          </w:tcPr>
          <w:p>
            <w:pPr>
              <w:spacing w:after="0" w:line="20" w:lineRule="exact"/>
              <w:rPr>
                <w:sz w:val="1"/>
                <w:szCs w:val="1"/>
                <w:color w:val="auto"/>
              </w:rPr>
            </w:pPr>
          </w:p>
        </w:tc>
        <w:tc>
          <w:tcPr>
            <w:tcW w:w="266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440" w:type="dxa"/>
            <w:vAlign w:val="bottom"/>
            <w:tcBorders>
              <w:lef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4"/>
                <w:szCs w:val="24"/>
                <w:color w:val="auto"/>
              </w:rPr>
            </w:pPr>
          </w:p>
        </w:tc>
        <w:tc>
          <w:tcPr>
            <w:tcW w:w="686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w w:val="99"/>
              </w:rPr>
              <w:t xml:space="preserve">As to the </w:t>
            </w:r>
            <w:r>
              <w:rPr>
                <w:rFonts w:ascii="Arial" w:cs="Arial" w:eastAsia="Arial" w:hAnsi="Arial"/>
                <w:sz w:val="21"/>
                <w:szCs w:val="21"/>
                <w:color w:val="auto"/>
                <w:w w:val="99"/>
              </w:rPr>
              <w:t>[__]</w:t>
            </w:r>
            <w:r>
              <w:rPr>
                <w:rFonts w:ascii="Arial" w:cs="Arial" w:eastAsia="Arial" w:hAnsi="Arial"/>
                <w:sz w:val="20"/>
                <w:szCs w:val="20"/>
                <w:color w:val="auto"/>
                <w:w w:val="99"/>
              </w:rPr>
              <w:t xml:space="preserve"> RSUs, </w:t>
            </w:r>
            <w:r>
              <w:rPr>
                <w:rFonts w:ascii="Arial" w:cs="Arial" w:eastAsia="Arial" w:hAnsi="Arial"/>
                <w:sz w:val="21"/>
                <w:szCs w:val="21"/>
                <w:color w:val="auto"/>
                <w:w w:val="99"/>
              </w:rPr>
              <w:t>[________]</w:t>
            </w:r>
            <w:r>
              <w:rPr>
                <w:rFonts w:ascii="Arial" w:cs="Arial" w:eastAsia="Arial" w:hAnsi="Arial"/>
                <w:sz w:val="20"/>
                <w:szCs w:val="20"/>
                <w:color w:val="auto"/>
                <w:w w:val="99"/>
              </w:rPr>
              <w:t>, provided that the First Performance Goal is</w:t>
            </w:r>
          </w:p>
        </w:tc>
        <w:tc>
          <w:tcPr>
            <w:tcW w:w="0" w:type="dxa"/>
            <w:vAlign w:val="bottom"/>
          </w:tcPr>
          <w:p>
            <w:pPr>
              <w:spacing w:after="0"/>
              <w:rPr>
                <w:sz w:val="1"/>
                <w:szCs w:val="1"/>
                <w:color w:val="auto"/>
              </w:rPr>
            </w:pPr>
          </w:p>
        </w:tc>
      </w:tr>
      <w:tr>
        <w:trPr>
          <w:trHeight w:val="250"/>
        </w:trPr>
        <w:tc>
          <w:tcPr>
            <w:tcW w:w="440" w:type="dxa"/>
            <w:vAlign w:val="bottom"/>
            <w:tcBorders>
              <w:lef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686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satisfied.</w:t>
            </w:r>
          </w:p>
        </w:tc>
        <w:tc>
          <w:tcPr>
            <w:tcW w:w="0" w:type="dxa"/>
            <w:vAlign w:val="bottom"/>
          </w:tcPr>
          <w:p>
            <w:pPr>
              <w:spacing w:after="0"/>
              <w:rPr>
                <w:sz w:val="1"/>
                <w:szCs w:val="1"/>
                <w:color w:val="auto"/>
              </w:rPr>
            </w:pPr>
          </w:p>
        </w:tc>
      </w:tr>
      <w:tr>
        <w:trPr>
          <w:trHeight w:val="293"/>
        </w:trPr>
        <w:tc>
          <w:tcPr>
            <w:tcW w:w="440" w:type="dxa"/>
            <w:vAlign w:val="bottom"/>
            <w:tcBorders>
              <w:lef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20"/>
                <w:szCs w:val="20"/>
                <w:color w:val="auto"/>
              </w:rPr>
              <w:t>(2) [</w:t>
            </w:r>
          </w:p>
        </w:tc>
        <w:tc>
          <w:tcPr>
            <w:tcW w:w="624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 RSUs</w:t>
            </w:r>
          </w:p>
        </w:tc>
        <w:tc>
          <w:tcPr>
            <w:tcW w:w="0" w:type="dxa"/>
            <w:vAlign w:val="bottom"/>
          </w:tcPr>
          <w:p>
            <w:pPr>
              <w:spacing w:after="0"/>
              <w:rPr>
                <w:sz w:val="1"/>
                <w:szCs w:val="1"/>
                <w:color w:val="auto"/>
              </w:rPr>
            </w:pPr>
          </w:p>
        </w:tc>
      </w:tr>
      <w:tr>
        <w:trPr>
          <w:trHeight w:val="20"/>
        </w:trPr>
        <w:tc>
          <w:tcPr>
            <w:tcW w:w="440" w:type="dxa"/>
            <w:vAlign w:val="bottom"/>
            <w:tcBorders>
              <w:left w:val="single" w:sz="8" w:color="auto"/>
            </w:tcBorders>
          </w:tcPr>
          <w:p>
            <w:pPr>
              <w:spacing w:after="0" w:line="20" w:lineRule="exact"/>
              <w:rPr>
                <w:sz w:val="1"/>
                <w:szCs w:val="1"/>
                <w:color w:val="auto"/>
              </w:rPr>
            </w:pPr>
          </w:p>
        </w:tc>
        <w:tc>
          <w:tcPr>
            <w:tcW w:w="266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440" w:type="dxa"/>
            <w:vAlign w:val="bottom"/>
            <w:tcBorders>
              <w:lef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4"/>
                <w:szCs w:val="24"/>
                <w:color w:val="auto"/>
              </w:rPr>
            </w:pPr>
          </w:p>
        </w:tc>
        <w:tc>
          <w:tcPr>
            <w:tcW w:w="686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w w:val="95"/>
              </w:rPr>
              <w:t xml:space="preserve">As to the </w:t>
            </w:r>
            <w:r>
              <w:rPr>
                <w:rFonts w:ascii="Arial" w:cs="Arial" w:eastAsia="Arial" w:hAnsi="Arial"/>
                <w:sz w:val="21"/>
                <w:szCs w:val="21"/>
                <w:color w:val="auto"/>
                <w:w w:val="95"/>
              </w:rPr>
              <w:t>[__]</w:t>
            </w:r>
            <w:r>
              <w:rPr>
                <w:rFonts w:ascii="Arial" w:cs="Arial" w:eastAsia="Arial" w:hAnsi="Arial"/>
                <w:sz w:val="20"/>
                <w:szCs w:val="20"/>
                <w:color w:val="auto"/>
                <w:w w:val="95"/>
              </w:rPr>
              <w:t xml:space="preserve"> RSUs, </w:t>
            </w:r>
            <w:r>
              <w:rPr>
                <w:rFonts w:ascii="Arial" w:cs="Arial" w:eastAsia="Arial" w:hAnsi="Arial"/>
                <w:sz w:val="21"/>
                <w:szCs w:val="21"/>
                <w:color w:val="auto"/>
                <w:w w:val="95"/>
              </w:rPr>
              <w:t>[________]</w:t>
            </w:r>
            <w:r>
              <w:rPr>
                <w:rFonts w:ascii="Arial" w:cs="Arial" w:eastAsia="Arial" w:hAnsi="Arial"/>
                <w:sz w:val="20"/>
                <w:szCs w:val="20"/>
                <w:color w:val="auto"/>
                <w:w w:val="95"/>
              </w:rPr>
              <w:t>, provided that the Second Performance Goal is</w:t>
            </w:r>
          </w:p>
        </w:tc>
        <w:tc>
          <w:tcPr>
            <w:tcW w:w="0" w:type="dxa"/>
            <w:vAlign w:val="bottom"/>
          </w:tcPr>
          <w:p>
            <w:pPr>
              <w:spacing w:after="0"/>
              <w:rPr>
                <w:sz w:val="1"/>
                <w:szCs w:val="1"/>
                <w:color w:val="auto"/>
              </w:rPr>
            </w:pPr>
          </w:p>
        </w:tc>
      </w:tr>
      <w:tr>
        <w:trPr>
          <w:trHeight w:val="250"/>
        </w:trPr>
        <w:tc>
          <w:tcPr>
            <w:tcW w:w="440" w:type="dxa"/>
            <w:vAlign w:val="bottom"/>
            <w:tcBorders>
              <w:lef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686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satisfied.</w:t>
            </w:r>
          </w:p>
        </w:tc>
        <w:tc>
          <w:tcPr>
            <w:tcW w:w="0" w:type="dxa"/>
            <w:vAlign w:val="bottom"/>
          </w:tcPr>
          <w:p>
            <w:pPr>
              <w:spacing w:after="0"/>
              <w:rPr>
                <w:sz w:val="1"/>
                <w:szCs w:val="1"/>
                <w:color w:val="auto"/>
              </w:rPr>
            </w:pPr>
          </w:p>
        </w:tc>
      </w:tr>
      <w:tr>
        <w:trPr>
          <w:trHeight w:val="293"/>
        </w:trPr>
        <w:tc>
          <w:tcPr>
            <w:tcW w:w="440" w:type="dxa"/>
            <w:vAlign w:val="bottom"/>
            <w:tcBorders>
              <w:lef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20"/>
                <w:szCs w:val="20"/>
                <w:color w:val="auto"/>
              </w:rPr>
              <w:t>(3) [</w:t>
            </w:r>
          </w:p>
        </w:tc>
        <w:tc>
          <w:tcPr>
            <w:tcW w:w="624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 RSUs</w:t>
            </w:r>
          </w:p>
        </w:tc>
        <w:tc>
          <w:tcPr>
            <w:tcW w:w="0" w:type="dxa"/>
            <w:vAlign w:val="bottom"/>
          </w:tcPr>
          <w:p>
            <w:pPr>
              <w:spacing w:after="0"/>
              <w:rPr>
                <w:sz w:val="1"/>
                <w:szCs w:val="1"/>
                <w:color w:val="auto"/>
              </w:rPr>
            </w:pPr>
          </w:p>
        </w:tc>
      </w:tr>
      <w:tr>
        <w:trPr>
          <w:trHeight w:val="20"/>
        </w:trPr>
        <w:tc>
          <w:tcPr>
            <w:tcW w:w="440" w:type="dxa"/>
            <w:vAlign w:val="bottom"/>
            <w:tcBorders>
              <w:left w:val="single" w:sz="8" w:color="auto"/>
            </w:tcBorders>
          </w:tcPr>
          <w:p>
            <w:pPr>
              <w:spacing w:after="0" w:line="20" w:lineRule="exact"/>
              <w:rPr>
                <w:sz w:val="1"/>
                <w:szCs w:val="1"/>
                <w:color w:val="auto"/>
              </w:rPr>
            </w:pPr>
          </w:p>
        </w:tc>
        <w:tc>
          <w:tcPr>
            <w:tcW w:w="266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3100" w:type="dxa"/>
            <w:vAlign w:val="bottom"/>
            <w:tcBorders>
              <w:left w:val="single" w:sz="8" w:color="auto"/>
              <w:right w:val="single" w:sz="8" w:color="auto"/>
            </w:tcBorders>
            <w:gridSpan w:val="2"/>
            <w:vMerge w:val="restart"/>
          </w:tcPr>
          <w:p>
            <w:pPr>
              <w:ind w:left="20"/>
              <w:spacing w:after="0"/>
              <w:rPr>
                <w:sz w:val="20"/>
                <w:szCs w:val="20"/>
                <w:color w:val="auto"/>
              </w:rPr>
            </w:pPr>
            <w:r>
              <w:rPr>
                <w:rFonts w:ascii="Arial" w:cs="Arial" w:eastAsia="Arial" w:hAnsi="Arial"/>
                <w:sz w:val="20"/>
                <w:szCs w:val="20"/>
                <w:color w:val="auto"/>
              </w:rPr>
              <w:t>Vesting Dates of Restricted Stock</w:t>
            </w:r>
          </w:p>
        </w:tc>
        <w:tc>
          <w:tcPr>
            <w:tcW w:w="686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w w:val="98"/>
              </w:rPr>
              <w:t xml:space="preserve">As to the </w:t>
            </w:r>
            <w:r>
              <w:rPr>
                <w:rFonts w:ascii="Arial" w:cs="Arial" w:eastAsia="Arial" w:hAnsi="Arial"/>
                <w:sz w:val="21"/>
                <w:szCs w:val="21"/>
                <w:color w:val="auto"/>
                <w:w w:val="98"/>
              </w:rPr>
              <w:t>[__]</w:t>
            </w:r>
            <w:r>
              <w:rPr>
                <w:rFonts w:ascii="Arial" w:cs="Arial" w:eastAsia="Arial" w:hAnsi="Arial"/>
                <w:sz w:val="20"/>
                <w:szCs w:val="20"/>
                <w:color w:val="auto"/>
                <w:w w:val="98"/>
              </w:rPr>
              <w:t xml:space="preserve"> RSUs, </w:t>
            </w:r>
            <w:r>
              <w:rPr>
                <w:rFonts w:ascii="Arial" w:cs="Arial" w:eastAsia="Arial" w:hAnsi="Arial"/>
                <w:sz w:val="21"/>
                <w:szCs w:val="21"/>
                <w:color w:val="auto"/>
                <w:w w:val="98"/>
              </w:rPr>
              <w:t>[________]</w:t>
            </w:r>
            <w:r>
              <w:rPr>
                <w:rFonts w:ascii="Arial" w:cs="Arial" w:eastAsia="Arial" w:hAnsi="Arial"/>
                <w:sz w:val="20"/>
                <w:szCs w:val="20"/>
                <w:color w:val="auto"/>
                <w:w w:val="98"/>
              </w:rPr>
              <w:t>, provided that the Third Performance Goal is</w:t>
            </w:r>
          </w:p>
        </w:tc>
        <w:tc>
          <w:tcPr>
            <w:tcW w:w="0" w:type="dxa"/>
            <w:vAlign w:val="bottom"/>
          </w:tcPr>
          <w:p>
            <w:pPr>
              <w:spacing w:after="0"/>
              <w:rPr>
                <w:sz w:val="1"/>
                <w:szCs w:val="1"/>
                <w:color w:val="auto"/>
              </w:rPr>
            </w:pPr>
          </w:p>
        </w:tc>
      </w:tr>
      <w:tr>
        <w:trPr>
          <w:trHeight w:val="108"/>
        </w:trPr>
        <w:tc>
          <w:tcPr>
            <w:tcW w:w="3100" w:type="dxa"/>
            <w:vAlign w:val="bottom"/>
            <w:tcBorders>
              <w:left w:val="single" w:sz="8" w:color="auto"/>
              <w:right w:val="single" w:sz="8" w:color="auto"/>
            </w:tcBorders>
            <w:gridSpan w:val="2"/>
            <w:vMerge w:val="continue"/>
          </w:tcPr>
          <w:p>
            <w:pPr>
              <w:spacing w:after="0"/>
              <w:rPr>
                <w:sz w:val="9"/>
                <w:szCs w:val="9"/>
                <w:color w:val="auto"/>
              </w:rPr>
            </w:pPr>
          </w:p>
        </w:tc>
        <w:tc>
          <w:tcPr>
            <w:tcW w:w="686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20"/>
                <w:szCs w:val="20"/>
                <w:color w:val="auto"/>
              </w:rPr>
              <w:t>satisfied.</w:t>
            </w:r>
          </w:p>
        </w:tc>
        <w:tc>
          <w:tcPr>
            <w:tcW w:w="0" w:type="dxa"/>
            <w:vAlign w:val="bottom"/>
          </w:tcPr>
          <w:p>
            <w:pPr>
              <w:spacing w:after="0"/>
              <w:rPr>
                <w:sz w:val="1"/>
                <w:szCs w:val="1"/>
                <w:color w:val="auto"/>
              </w:rPr>
            </w:pPr>
          </w:p>
        </w:tc>
      </w:tr>
      <w:tr>
        <w:trPr>
          <w:trHeight w:val="142"/>
        </w:trPr>
        <w:tc>
          <w:tcPr>
            <w:tcW w:w="3100" w:type="dxa"/>
            <w:vAlign w:val="bottom"/>
            <w:tcBorders>
              <w:left w:val="single" w:sz="8" w:color="auto"/>
              <w:right w:val="single" w:sz="8" w:color="auto"/>
            </w:tcBorders>
            <w:gridSpan w:val="2"/>
            <w:vMerge w:val="restart"/>
          </w:tcPr>
          <w:p>
            <w:pPr>
              <w:ind w:left="20"/>
              <w:spacing w:after="0"/>
              <w:rPr>
                <w:sz w:val="20"/>
                <w:szCs w:val="20"/>
                <w:color w:val="auto"/>
              </w:rPr>
            </w:pPr>
            <w:r>
              <w:rPr>
                <w:rFonts w:ascii="Arial" w:cs="Arial" w:eastAsia="Arial" w:hAnsi="Arial"/>
                <w:sz w:val="20"/>
                <w:szCs w:val="20"/>
                <w:color w:val="auto"/>
              </w:rPr>
              <w:t>Units:</w:t>
            </w:r>
          </w:p>
        </w:tc>
        <w:tc>
          <w:tcPr>
            <w:tcW w:w="6860" w:type="dxa"/>
            <w:vAlign w:val="bottom"/>
            <w:tcBorders>
              <w:right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100" w:type="dxa"/>
            <w:vAlign w:val="bottom"/>
            <w:tcBorders>
              <w:left w:val="single" w:sz="8" w:color="auto"/>
              <w:right w:val="single" w:sz="8" w:color="auto"/>
            </w:tcBorders>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440" w:type="dxa"/>
            <w:vAlign w:val="bottom"/>
            <w:tcBorders>
              <w:left w:val="single" w:sz="8" w:color="auto"/>
              <w:bottom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5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2"/>
        </w:trPr>
        <w:tc>
          <w:tcPr>
            <w:tcW w:w="440" w:type="dxa"/>
            <w:vAlign w:val="bottom"/>
            <w:tcBorders>
              <w:lef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4"/>
                <w:szCs w:val="24"/>
                <w:color w:val="auto"/>
              </w:rPr>
            </w:pPr>
          </w:p>
        </w:tc>
        <w:tc>
          <w:tcPr>
            <w:tcW w:w="686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Notwithstanding anything herein to the contrary, to the extent:</w:t>
            </w:r>
          </w:p>
        </w:tc>
        <w:tc>
          <w:tcPr>
            <w:tcW w:w="0" w:type="dxa"/>
            <w:vAlign w:val="bottom"/>
          </w:tcPr>
          <w:p>
            <w:pPr>
              <w:spacing w:after="0"/>
              <w:rPr>
                <w:sz w:val="1"/>
                <w:szCs w:val="1"/>
                <w:color w:val="auto"/>
              </w:rPr>
            </w:pPr>
          </w:p>
        </w:tc>
      </w:tr>
      <w:tr>
        <w:trPr>
          <w:trHeight w:val="434"/>
        </w:trPr>
        <w:tc>
          <w:tcPr>
            <w:tcW w:w="440" w:type="dxa"/>
            <w:vAlign w:val="bottom"/>
            <w:tcBorders>
              <w:lef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4"/>
                <w:szCs w:val="24"/>
                <w:color w:val="auto"/>
              </w:rPr>
            </w:pPr>
          </w:p>
        </w:tc>
        <w:tc>
          <w:tcPr>
            <w:tcW w:w="686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w w:val="95"/>
              </w:rPr>
              <w:t xml:space="preserve">(1) a Vesting Date for any </w:t>
            </w:r>
            <w:r>
              <w:rPr>
                <w:rFonts w:ascii="Arial" w:cs="Arial" w:eastAsia="Arial" w:hAnsi="Arial"/>
                <w:sz w:val="21"/>
                <w:szCs w:val="21"/>
                <w:color w:val="auto"/>
                <w:w w:val="95"/>
              </w:rPr>
              <w:t>[__]</w:t>
            </w:r>
            <w:r>
              <w:rPr>
                <w:rFonts w:ascii="Arial" w:cs="Arial" w:eastAsia="Arial" w:hAnsi="Arial"/>
                <w:sz w:val="20"/>
                <w:szCs w:val="20"/>
                <w:color w:val="auto"/>
                <w:w w:val="95"/>
              </w:rPr>
              <w:t xml:space="preserve"> RSUs has not occurred on or before </w:t>
            </w:r>
            <w:r>
              <w:rPr>
                <w:rFonts w:ascii="Arial" w:cs="Arial" w:eastAsia="Arial" w:hAnsi="Arial"/>
                <w:sz w:val="21"/>
                <w:szCs w:val="21"/>
                <w:color w:val="auto"/>
                <w:w w:val="95"/>
              </w:rPr>
              <w:t>[________]</w:t>
            </w:r>
            <w:r>
              <w:rPr>
                <w:rFonts w:ascii="Arial" w:cs="Arial" w:eastAsia="Arial" w:hAnsi="Arial"/>
                <w:sz w:val="20"/>
                <w:szCs w:val="20"/>
                <w:color w:val="auto"/>
                <w:w w:val="95"/>
              </w:rPr>
              <w:t>,</w:t>
            </w:r>
          </w:p>
        </w:tc>
        <w:tc>
          <w:tcPr>
            <w:tcW w:w="0" w:type="dxa"/>
            <w:vAlign w:val="bottom"/>
          </w:tcPr>
          <w:p>
            <w:pPr>
              <w:spacing w:after="0"/>
              <w:rPr>
                <w:sz w:val="1"/>
                <w:szCs w:val="1"/>
                <w:color w:val="auto"/>
              </w:rPr>
            </w:pPr>
          </w:p>
        </w:tc>
      </w:tr>
      <w:tr>
        <w:trPr>
          <w:trHeight w:val="248"/>
        </w:trPr>
        <w:tc>
          <w:tcPr>
            <w:tcW w:w="440" w:type="dxa"/>
            <w:vAlign w:val="bottom"/>
            <w:tcBorders>
              <w:lef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686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w w:val="91"/>
              </w:rPr>
              <w:t xml:space="preserve">such </w:t>
            </w:r>
            <w:r>
              <w:rPr>
                <w:rFonts w:ascii="Arial" w:cs="Arial" w:eastAsia="Arial" w:hAnsi="Arial"/>
                <w:sz w:val="21"/>
                <w:szCs w:val="21"/>
                <w:color w:val="auto"/>
                <w:w w:val="91"/>
              </w:rPr>
              <w:t>[__]</w:t>
            </w:r>
            <w:r>
              <w:rPr>
                <w:rFonts w:ascii="Arial" w:cs="Arial" w:eastAsia="Arial" w:hAnsi="Arial"/>
                <w:sz w:val="20"/>
                <w:szCs w:val="20"/>
                <w:color w:val="auto"/>
                <w:w w:val="91"/>
              </w:rPr>
              <w:t xml:space="preserve"> RSUs which have not vested and become nonforfeitable shall immediately</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19"/>
                <w:szCs w:val="19"/>
                <w:color w:val="auto"/>
              </w:rPr>
            </w:pPr>
          </w:p>
        </w:tc>
        <w:tc>
          <w:tcPr>
            <w:tcW w:w="2660" w:type="dxa"/>
            <w:vAlign w:val="bottom"/>
            <w:tcBorders>
              <w:right w:val="single" w:sz="8" w:color="auto"/>
            </w:tcBorders>
          </w:tcPr>
          <w:p>
            <w:pPr>
              <w:spacing w:after="0"/>
              <w:rPr>
                <w:sz w:val="19"/>
                <w:szCs w:val="19"/>
                <w:color w:val="auto"/>
              </w:rPr>
            </w:pPr>
          </w:p>
        </w:tc>
        <w:tc>
          <w:tcPr>
            <w:tcW w:w="686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w w:val="91"/>
              </w:rPr>
              <w:t>and automatically, without any action on the part of the Grantee or the Company, be</w:t>
            </w:r>
          </w:p>
        </w:tc>
        <w:tc>
          <w:tcPr>
            <w:tcW w:w="0" w:type="dxa"/>
            <w:vAlign w:val="bottom"/>
          </w:tcPr>
          <w:p>
            <w:pPr>
              <w:spacing w:after="0"/>
              <w:rPr>
                <w:sz w:val="1"/>
                <w:szCs w:val="1"/>
                <w:color w:val="auto"/>
              </w:rPr>
            </w:pPr>
          </w:p>
        </w:tc>
      </w:tr>
      <w:tr>
        <w:trPr>
          <w:trHeight w:val="250"/>
        </w:trPr>
        <w:tc>
          <w:tcPr>
            <w:tcW w:w="440" w:type="dxa"/>
            <w:vAlign w:val="bottom"/>
            <w:tcBorders>
              <w:lef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686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forfeited by the Grantee and deemed canceled.</w:t>
            </w:r>
          </w:p>
        </w:tc>
        <w:tc>
          <w:tcPr>
            <w:tcW w:w="0" w:type="dxa"/>
            <w:vAlign w:val="bottom"/>
          </w:tcPr>
          <w:p>
            <w:pPr>
              <w:spacing w:after="0"/>
              <w:rPr>
                <w:sz w:val="1"/>
                <w:szCs w:val="1"/>
                <w:color w:val="auto"/>
              </w:rPr>
            </w:pPr>
          </w:p>
        </w:tc>
      </w:tr>
      <w:tr>
        <w:trPr>
          <w:trHeight w:val="434"/>
        </w:trPr>
        <w:tc>
          <w:tcPr>
            <w:tcW w:w="440" w:type="dxa"/>
            <w:vAlign w:val="bottom"/>
            <w:tcBorders>
              <w:lef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4"/>
                <w:szCs w:val="24"/>
                <w:color w:val="auto"/>
              </w:rPr>
            </w:pPr>
          </w:p>
        </w:tc>
        <w:tc>
          <w:tcPr>
            <w:tcW w:w="686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w w:val="95"/>
              </w:rPr>
              <w:t xml:space="preserve">(2) a Vesting Date for any </w:t>
            </w:r>
            <w:r>
              <w:rPr>
                <w:rFonts w:ascii="Arial" w:cs="Arial" w:eastAsia="Arial" w:hAnsi="Arial"/>
                <w:sz w:val="21"/>
                <w:szCs w:val="21"/>
                <w:color w:val="auto"/>
                <w:w w:val="95"/>
              </w:rPr>
              <w:t>[__]</w:t>
            </w:r>
            <w:r>
              <w:rPr>
                <w:rFonts w:ascii="Arial" w:cs="Arial" w:eastAsia="Arial" w:hAnsi="Arial"/>
                <w:sz w:val="20"/>
                <w:szCs w:val="20"/>
                <w:color w:val="auto"/>
                <w:w w:val="95"/>
              </w:rPr>
              <w:t xml:space="preserve"> RSUs has not occurred on or before </w:t>
            </w:r>
            <w:r>
              <w:rPr>
                <w:rFonts w:ascii="Arial" w:cs="Arial" w:eastAsia="Arial" w:hAnsi="Arial"/>
                <w:sz w:val="21"/>
                <w:szCs w:val="21"/>
                <w:color w:val="auto"/>
                <w:w w:val="95"/>
              </w:rPr>
              <w:t>[________]</w:t>
            </w:r>
            <w:r>
              <w:rPr>
                <w:rFonts w:ascii="Arial" w:cs="Arial" w:eastAsia="Arial" w:hAnsi="Arial"/>
                <w:sz w:val="20"/>
                <w:szCs w:val="20"/>
                <w:color w:val="auto"/>
                <w:w w:val="95"/>
              </w:rPr>
              <w:t>,</w:t>
            </w:r>
          </w:p>
        </w:tc>
        <w:tc>
          <w:tcPr>
            <w:tcW w:w="0" w:type="dxa"/>
            <w:vAlign w:val="bottom"/>
          </w:tcPr>
          <w:p>
            <w:pPr>
              <w:spacing w:after="0"/>
              <w:rPr>
                <w:sz w:val="1"/>
                <w:szCs w:val="1"/>
                <w:color w:val="auto"/>
              </w:rPr>
            </w:pPr>
          </w:p>
        </w:tc>
      </w:tr>
      <w:tr>
        <w:trPr>
          <w:trHeight w:val="248"/>
        </w:trPr>
        <w:tc>
          <w:tcPr>
            <w:tcW w:w="440" w:type="dxa"/>
            <w:vAlign w:val="bottom"/>
            <w:tcBorders>
              <w:lef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686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w w:val="91"/>
              </w:rPr>
              <w:t xml:space="preserve">such </w:t>
            </w:r>
            <w:r>
              <w:rPr>
                <w:rFonts w:ascii="Arial" w:cs="Arial" w:eastAsia="Arial" w:hAnsi="Arial"/>
                <w:sz w:val="21"/>
                <w:szCs w:val="21"/>
                <w:color w:val="auto"/>
                <w:w w:val="91"/>
              </w:rPr>
              <w:t>[__]</w:t>
            </w:r>
            <w:r>
              <w:rPr>
                <w:rFonts w:ascii="Arial" w:cs="Arial" w:eastAsia="Arial" w:hAnsi="Arial"/>
                <w:sz w:val="20"/>
                <w:szCs w:val="20"/>
                <w:color w:val="auto"/>
                <w:w w:val="91"/>
              </w:rPr>
              <w:t xml:space="preserve"> RSUs which have not vested and become nonforfeitable shall immediately</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19"/>
                <w:szCs w:val="19"/>
                <w:color w:val="auto"/>
              </w:rPr>
            </w:pPr>
          </w:p>
        </w:tc>
        <w:tc>
          <w:tcPr>
            <w:tcW w:w="2660" w:type="dxa"/>
            <w:vAlign w:val="bottom"/>
            <w:tcBorders>
              <w:right w:val="single" w:sz="8" w:color="auto"/>
            </w:tcBorders>
          </w:tcPr>
          <w:p>
            <w:pPr>
              <w:spacing w:after="0"/>
              <w:rPr>
                <w:sz w:val="19"/>
                <w:szCs w:val="19"/>
                <w:color w:val="auto"/>
              </w:rPr>
            </w:pPr>
          </w:p>
        </w:tc>
        <w:tc>
          <w:tcPr>
            <w:tcW w:w="686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w w:val="91"/>
              </w:rPr>
              <w:t>and automatically, without any action on the part of the Grantee or the Company, be</w:t>
            </w:r>
          </w:p>
        </w:tc>
        <w:tc>
          <w:tcPr>
            <w:tcW w:w="0" w:type="dxa"/>
            <w:vAlign w:val="bottom"/>
          </w:tcPr>
          <w:p>
            <w:pPr>
              <w:spacing w:after="0"/>
              <w:rPr>
                <w:sz w:val="1"/>
                <w:szCs w:val="1"/>
                <w:color w:val="auto"/>
              </w:rPr>
            </w:pPr>
          </w:p>
        </w:tc>
      </w:tr>
      <w:tr>
        <w:trPr>
          <w:trHeight w:val="250"/>
        </w:trPr>
        <w:tc>
          <w:tcPr>
            <w:tcW w:w="440" w:type="dxa"/>
            <w:vAlign w:val="bottom"/>
            <w:tcBorders>
              <w:lef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686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forfeited by the Grantee and deemed canceled.</w:t>
            </w:r>
          </w:p>
        </w:tc>
        <w:tc>
          <w:tcPr>
            <w:tcW w:w="0" w:type="dxa"/>
            <w:vAlign w:val="bottom"/>
          </w:tcPr>
          <w:p>
            <w:pPr>
              <w:spacing w:after="0"/>
              <w:rPr>
                <w:sz w:val="1"/>
                <w:szCs w:val="1"/>
                <w:color w:val="auto"/>
              </w:rPr>
            </w:pPr>
          </w:p>
        </w:tc>
      </w:tr>
      <w:tr>
        <w:trPr>
          <w:trHeight w:val="434"/>
        </w:trPr>
        <w:tc>
          <w:tcPr>
            <w:tcW w:w="440" w:type="dxa"/>
            <w:vAlign w:val="bottom"/>
            <w:tcBorders>
              <w:lef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4"/>
                <w:szCs w:val="24"/>
                <w:color w:val="auto"/>
              </w:rPr>
            </w:pPr>
          </w:p>
        </w:tc>
        <w:tc>
          <w:tcPr>
            <w:tcW w:w="686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w w:val="95"/>
              </w:rPr>
              <w:t xml:space="preserve">(3) a Vesting Date for any </w:t>
            </w:r>
            <w:r>
              <w:rPr>
                <w:rFonts w:ascii="Arial" w:cs="Arial" w:eastAsia="Arial" w:hAnsi="Arial"/>
                <w:sz w:val="21"/>
                <w:szCs w:val="21"/>
                <w:color w:val="auto"/>
                <w:w w:val="95"/>
              </w:rPr>
              <w:t>[__]</w:t>
            </w:r>
            <w:r>
              <w:rPr>
                <w:rFonts w:ascii="Arial" w:cs="Arial" w:eastAsia="Arial" w:hAnsi="Arial"/>
                <w:sz w:val="20"/>
                <w:szCs w:val="20"/>
                <w:color w:val="auto"/>
                <w:w w:val="95"/>
              </w:rPr>
              <w:t xml:space="preserve"> RSUs has not occurred on or before </w:t>
            </w:r>
            <w:r>
              <w:rPr>
                <w:rFonts w:ascii="Arial" w:cs="Arial" w:eastAsia="Arial" w:hAnsi="Arial"/>
                <w:sz w:val="21"/>
                <w:szCs w:val="21"/>
                <w:color w:val="auto"/>
                <w:w w:val="95"/>
              </w:rPr>
              <w:t>[________]</w:t>
            </w:r>
            <w:r>
              <w:rPr>
                <w:rFonts w:ascii="Arial" w:cs="Arial" w:eastAsia="Arial" w:hAnsi="Arial"/>
                <w:sz w:val="20"/>
                <w:szCs w:val="20"/>
                <w:color w:val="auto"/>
                <w:w w:val="95"/>
              </w:rPr>
              <w:t>,</w:t>
            </w:r>
          </w:p>
        </w:tc>
        <w:tc>
          <w:tcPr>
            <w:tcW w:w="0" w:type="dxa"/>
            <w:vAlign w:val="bottom"/>
          </w:tcPr>
          <w:p>
            <w:pPr>
              <w:spacing w:after="0"/>
              <w:rPr>
                <w:sz w:val="1"/>
                <w:szCs w:val="1"/>
                <w:color w:val="auto"/>
              </w:rPr>
            </w:pPr>
          </w:p>
        </w:tc>
      </w:tr>
      <w:tr>
        <w:trPr>
          <w:trHeight w:val="248"/>
        </w:trPr>
        <w:tc>
          <w:tcPr>
            <w:tcW w:w="440" w:type="dxa"/>
            <w:vAlign w:val="bottom"/>
            <w:tcBorders>
              <w:lef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686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w w:val="91"/>
              </w:rPr>
              <w:t xml:space="preserve">such </w:t>
            </w:r>
            <w:r>
              <w:rPr>
                <w:rFonts w:ascii="Arial" w:cs="Arial" w:eastAsia="Arial" w:hAnsi="Arial"/>
                <w:sz w:val="21"/>
                <w:szCs w:val="21"/>
                <w:color w:val="auto"/>
                <w:w w:val="91"/>
              </w:rPr>
              <w:t>[__]</w:t>
            </w:r>
            <w:r>
              <w:rPr>
                <w:rFonts w:ascii="Arial" w:cs="Arial" w:eastAsia="Arial" w:hAnsi="Arial"/>
                <w:sz w:val="20"/>
                <w:szCs w:val="20"/>
                <w:color w:val="auto"/>
                <w:w w:val="91"/>
              </w:rPr>
              <w:t xml:space="preserve"> RSUs which have not vested and become nonforfeitable shall immediately</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19"/>
                <w:szCs w:val="19"/>
                <w:color w:val="auto"/>
              </w:rPr>
            </w:pPr>
          </w:p>
        </w:tc>
        <w:tc>
          <w:tcPr>
            <w:tcW w:w="2660" w:type="dxa"/>
            <w:vAlign w:val="bottom"/>
            <w:tcBorders>
              <w:right w:val="single" w:sz="8" w:color="auto"/>
            </w:tcBorders>
          </w:tcPr>
          <w:p>
            <w:pPr>
              <w:spacing w:after="0"/>
              <w:rPr>
                <w:sz w:val="19"/>
                <w:szCs w:val="19"/>
                <w:color w:val="auto"/>
              </w:rPr>
            </w:pPr>
          </w:p>
        </w:tc>
        <w:tc>
          <w:tcPr>
            <w:tcW w:w="686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w w:val="91"/>
              </w:rPr>
              <w:t>and automatically, without any action on the part of the Grantee or the Company, be</w:t>
            </w:r>
          </w:p>
        </w:tc>
        <w:tc>
          <w:tcPr>
            <w:tcW w:w="0" w:type="dxa"/>
            <w:vAlign w:val="bottom"/>
          </w:tcPr>
          <w:p>
            <w:pPr>
              <w:spacing w:after="0"/>
              <w:rPr>
                <w:sz w:val="1"/>
                <w:szCs w:val="1"/>
                <w:color w:val="auto"/>
              </w:rPr>
            </w:pPr>
          </w:p>
        </w:tc>
      </w:tr>
      <w:tr>
        <w:trPr>
          <w:trHeight w:val="250"/>
        </w:trPr>
        <w:tc>
          <w:tcPr>
            <w:tcW w:w="440" w:type="dxa"/>
            <w:vAlign w:val="bottom"/>
            <w:tcBorders>
              <w:lef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686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forfeited by the Grantee and deemed canceled.</w:t>
            </w:r>
          </w:p>
        </w:tc>
        <w:tc>
          <w:tcPr>
            <w:tcW w:w="0" w:type="dxa"/>
            <w:vAlign w:val="bottom"/>
          </w:tcPr>
          <w:p>
            <w:pPr>
              <w:spacing w:after="0"/>
              <w:rPr>
                <w:sz w:val="1"/>
                <w:szCs w:val="1"/>
                <w:color w:val="auto"/>
              </w:rPr>
            </w:pPr>
          </w:p>
        </w:tc>
      </w:tr>
      <w:tr>
        <w:trPr>
          <w:trHeight w:val="131"/>
        </w:trPr>
        <w:tc>
          <w:tcPr>
            <w:tcW w:w="440" w:type="dxa"/>
            <w:vAlign w:val="bottom"/>
            <w:tcBorders>
              <w:left w:val="single" w:sz="8" w:color="auto"/>
              <w:bottom w:val="single" w:sz="8" w:color="auto"/>
            </w:tcBorders>
          </w:tcPr>
          <w:p>
            <w:pPr>
              <w:spacing w:after="0"/>
              <w:rPr>
                <w:sz w:val="11"/>
                <w:szCs w:val="11"/>
                <w:color w:val="auto"/>
              </w:rPr>
            </w:pPr>
          </w:p>
        </w:tc>
        <w:tc>
          <w:tcPr>
            <w:tcW w:w="2660" w:type="dxa"/>
            <w:vAlign w:val="bottom"/>
            <w:tcBorders>
              <w:bottom w:val="single" w:sz="8" w:color="auto"/>
              <w:right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6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801" w:right="27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71"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420" w:hanging="644"/>
        <w:spacing w:after="0" w:line="264"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80" w:hanging="644"/>
        <w:spacing w:after="0" w:line="342" w:lineRule="auto"/>
        <w:tabs>
          <w:tab w:leader="none" w:pos="1300" w:val="left"/>
        </w:tabs>
        <w:numPr>
          <w:ilvl w:val="1"/>
          <w:numId w:val="6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60" w:hanging="644"/>
        <w:spacing w:after="0" w:line="277"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2018</w:t>
      </w:r>
    </w:p>
    <w:p>
      <w:pPr>
        <w:spacing w:after="0" w:line="17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35331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273"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Name: Brian L. Roberts</w:t>
      </w:r>
    </w:p>
    <w:p>
      <w:pPr>
        <w:spacing w:after="0" w:line="63"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337"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I, Michael J. Cavanagh, certify that:</w:t>
      </w:r>
    </w:p>
    <w:p>
      <w:pPr>
        <w:spacing w:after="0" w:line="63"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171" w:lineRule="exact"/>
        <w:rPr>
          <w:rFonts w:ascii="Arial" w:cs="Arial" w:eastAsia="Arial" w:hAnsi="Arial"/>
          <w:sz w:val="18"/>
          <w:szCs w:val="18"/>
          <w:color w:val="auto"/>
        </w:rPr>
      </w:pPr>
    </w:p>
    <w:p>
      <w:pPr>
        <w:jc w:val="both"/>
        <w:ind w:left="660" w:right="180" w:hanging="652"/>
        <w:spacing w:after="0" w:line="264"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140" w:hanging="652"/>
        <w:spacing w:after="0" w:line="308" w:lineRule="auto"/>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60" w:hanging="652"/>
        <w:spacing w:after="0" w:line="264"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hanging="644"/>
        <w:spacing w:after="0" w:line="264"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100" w:hanging="644"/>
        <w:spacing w:after="0" w:line="264"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260" w:hanging="644"/>
        <w:spacing w:after="0" w:line="342" w:lineRule="auto"/>
        <w:tabs>
          <w:tab w:leader="none" w:pos="1300"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300" w:hanging="644"/>
        <w:spacing w:after="0" w:line="264"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60" w:hanging="652"/>
        <w:spacing w:after="0" w:line="308" w:lineRule="auto"/>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560" w:hanging="644"/>
        <w:spacing w:after="0" w:line="342" w:lineRule="auto"/>
        <w:tabs>
          <w:tab w:leader="none" w:pos="1300" w:val="left"/>
        </w:tabs>
        <w:numPr>
          <w:ilvl w:val="1"/>
          <w:numId w:val="6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40" w:hanging="644"/>
        <w:spacing w:after="0" w:line="277"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2018</w:t>
      </w:r>
    </w:p>
    <w:p>
      <w:pPr>
        <w:spacing w:after="0" w:line="333"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35331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273"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Name: Michael J. Cavanagh</w:t>
      </w:r>
    </w:p>
    <w:p>
      <w:pPr>
        <w:spacing w:after="0" w:line="6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300"/>
          </w:cols>
          <w:pgMar w:left="240" w:top="557" w:right="35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71"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NBCUniversal Media, LLC;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420" w:hanging="644"/>
        <w:spacing w:after="0" w:line="264"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80" w:hanging="644"/>
        <w:spacing w:after="0" w:line="342" w:lineRule="auto"/>
        <w:tabs>
          <w:tab w:leader="none" w:pos="1300" w:val="left"/>
        </w:tabs>
        <w:numPr>
          <w:ilvl w:val="1"/>
          <w:numId w:val="6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60" w:hanging="644"/>
        <w:spacing w:after="0" w:line="277"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2018</w:t>
      </w:r>
    </w:p>
    <w:p>
      <w:pPr>
        <w:spacing w:after="0" w:line="333"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Name: Brian L. Roberts</w:t>
      </w:r>
    </w:p>
    <w:p>
      <w:pPr>
        <w:spacing w:after="0" w:line="63"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Title: Principal Executive Officer</w:t>
      </w:r>
    </w:p>
    <w:p>
      <w:pPr>
        <w:sectPr>
          <w:pgSz w:w="11900" w:h="16838" w:orient="portrait"/>
          <w:cols w:equalWidth="0" w:num="1">
            <w:col w:w="11420"/>
          </w:cols>
          <w:pgMar w:left="240" w:top="337"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I, Michael J. Cavanagh, certify that:</w:t>
      </w:r>
    </w:p>
    <w:p>
      <w:pPr>
        <w:spacing w:after="0" w:line="171"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NBCUniversal Media, LLC;</w:t>
      </w:r>
    </w:p>
    <w:p>
      <w:pPr>
        <w:spacing w:after="0" w:line="171" w:lineRule="exact"/>
        <w:rPr>
          <w:rFonts w:ascii="Arial" w:cs="Arial" w:eastAsia="Arial" w:hAnsi="Arial"/>
          <w:sz w:val="18"/>
          <w:szCs w:val="18"/>
          <w:color w:val="auto"/>
        </w:rPr>
      </w:pPr>
    </w:p>
    <w:p>
      <w:pPr>
        <w:jc w:val="both"/>
        <w:ind w:left="660" w:right="180" w:hanging="652"/>
        <w:spacing w:after="0" w:line="264"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140" w:hanging="652"/>
        <w:spacing w:after="0" w:line="308" w:lineRule="auto"/>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60" w:hanging="652"/>
        <w:spacing w:after="0" w:line="264"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hanging="644"/>
        <w:spacing w:after="0" w:line="264"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100" w:hanging="644"/>
        <w:spacing w:after="0" w:line="264"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260" w:hanging="644"/>
        <w:spacing w:after="0" w:line="342" w:lineRule="auto"/>
        <w:tabs>
          <w:tab w:leader="none" w:pos="1300"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300" w:hanging="644"/>
        <w:spacing w:after="0" w:line="264"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60" w:hanging="652"/>
        <w:spacing w:after="0" w:line="308" w:lineRule="auto"/>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560" w:hanging="644"/>
        <w:spacing w:after="0" w:line="342" w:lineRule="auto"/>
        <w:tabs>
          <w:tab w:leader="none" w:pos="1300" w:val="left"/>
        </w:tabs>
        <w:numPr>
          <w:ilvl w:val="1"/>
          <w:numId w:val="6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40" w:hanging="644"/>
        <w:spacing w:after="0" w:line="277"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2018</w:t>
      </w:r>
    </w:p>
    <w:p>
      <w:pPr>
        <w:spacing w:after="0" w:line="333" w:lineRule="exact"/>
        <w:rPr>
          <w:sz w:val="20"/>
          <w:szCs w:val="20"/>
          <w:color w:val="auto"/>
        </w:rPr>
      </w:pPr>
    </w:p>
    <w:p>
      <w:pPr>
        <w:jc w:val="center"/>
        <w:ind w:right="572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right="5720"/>
        <w:spacing w:after="0"/>
        <w:rPr>
          <w:sz w:val="20"/>
          <w:szCs w:val="20"/>
          <w:color w:val="auto"/>
        </w:rPr>
      </w:pPr>
      <w:r>
        <w:rPr>
          <w:rFonts w:ascii="Arial" w:cs="Arial" w:eastAsia="Arial" w:hAnsi="Arial"/>
          <w:sz w:val="18"/>
          <w:szCs w:val="18"/>
          <w:color w:val="auto"/>
        </w:rPr>
        <w:t>Name: Michael J. Cavanagh</w:t>
      </w:r>
    </w:p>
    <w:p>
      <w:pPr>
        <w:spacing w:after="0" w:line="63" w:lineRule="exact"/>
        <w:rPr>
          <w:sz w:val="20"/>
          <w:szCs w:val="20"/>
          <w:color w:val="auto"/>
        </w:rPr>
      </w:pPr>
    </w:p>
    <w:p>
      <w:pPr>
        <w:jc w:val="center"/>
        <w:ind w:right="5720"/>
        <w:spacing w:after="0"/>
        <w:rPr>
          <w:sz w:val="20"/>
          <w:szCs w:val="20"/>
          <w:color w:val="auto"/>
        </w:rPr>
      </w:pPr>
      <w:r>
        <w:rPr>
          <w:rFonts w:ascii="Arial" w:cs="Arial" w:eastAsia="Arial" w:hAnsi="Arial"/>
          <w:sz w:val="18"/>
          <w:szCs w:val="18"/>
          <w:color w:val="auto"/>
        </w:rPr>
        <w:t>Title: Principal Financial Officer</w:t>
      </w:r>
    </w:p>
    <w:p>
      <w:pPr>
        <w:sectPr>
          <w:pgSz w:w="11900" w:h="16838" w:orient="portrait"/>
          <w:cols w:equalWidth="0" w:num="1">
            <w:col w:w="11300"/>
          </w:cols>
          <w:pgMar w:left="240" w:top="773" w:right="359" w:bottom="1440" w:gutter="0" w:footer="0" w:header="0"/>
        </w:sectPr>
      </w:pPr>
    </w:p>
    <w:bookmarkStart w:id="91" w:name="page92"/>
    <w:bookmarkEnd w:id="91"/>
    <w:p>
      <w:pPr>
        <w:ind w:left="10480"/>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26,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12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Brian L. Roberts, the Chief Executive Officer and Michael J. Cavanagh, the Chief Financial Officer of Comcast Corporation, each certifies that, to the best of his knowledge:</w:t>
      </w:r>
    </w:p>
    <w:p>
      <w:pPr>
        <w:spacing w:after="0" w:line="116"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71" w:lineRule="exact"/>
        <w:rPr>
          <w:rFonts w:ascii="Arial" w:cs="Arial" w:eastAsia="Arial" w:hAnsi="Arial"/>
          <w:sz w:val="18"/>
          <w:szCs w:val="18"/>
          <w:color w:val="auto"/>
        </w:rPr>
      </w:pPr>
    </w:p>
    <w:p>
      <w:pPr>
        <w:ind w:left="660" w:right="680" w:hanging="652"/>
        <w:spacing w:after="0" w:line="277"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Comcast Corporation.</w:t>
      </w:r>
    </w:p>
    <w:p>
      <w:pPr>
        <w:spacing w:after="0" w:line="279"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31750</wp:posOffset>
            </wp:positionV>
            <wp:extent cx="35331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Name: Brian L. Roberts</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Title: Chief Executive Officer</w:t>
      </w:r>
    </w:p>
    <w:p>
      <w:pPr>
        <w:spacing w:after="0" w:line="360"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31750</wp:posOffset>
            </wp:positionV>
            <wp:extent cx="35331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Name: Michael J. Cavanagh</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337" w:right="239" w:bottom="1440" w:gutter="0" w:footer="0" w:header="0"/>
        </w:sectPr>
      </w:pPr>
    </w:p>
    <w:bookmarkStart w:id="92" w:name="page93"/>
    <w:bookmarkEnd w:id="92"/>
    <w:p>
      <w:pPr>
        <w:ind w:left="10480"/>
        <w:spacing w:after="0"/>
        <w:rPr>
          <w:sz w:val="20"/>
          <w:szCs w:val="20"/>
          <w:color w:val="auto"/>
        </w:rPr>
      </w:pPr>
      <w:r>
        <w:rPr>
          <w:rFonts w:ascii="Arial" w:cs="Arial" w:eastAsia="Arial" w:hAnsi="Arial"/>
          <w:sz w:val="16"/>
          <w:szCs w:val="16"/>
          <w:b w:val="1"/>
          <w:bCs w:val="1"/>
          <w:color w:val="auto"/>
        </w:rPr>
        <w:t>Exhibit 32.2</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26,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NBCUniversal Media, LLC (the “Report”) for the purpose of complying with Rule 13a-14(b) or Rule 15d-14(b) of the Securities Exchange Act of 1934 (the “Exchange Act”) and Section 1350 of Chapter 63 of Title 18 of the United States Code.</w:t>
      </w:r>
    </w:p>
    <w:p>
      <w:pPr>
        <w:spacing w:after="0" w:line="12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Brian L. Roberts, the Principal Executive Officer and Michael J. Cavanagh, the Principal Financial Officer of NBCUniversal Media, LLC, each certifies that, to the best of his knowledge:</w:t>
      </w:r>
    </w:p>
    <w:p>
      <w:pPr>
        <w:spacing w:after="0" w:line="116" w:lineRule="exact"/>
        <w:rPr>
          <w:sz w:val="20"/>
          <w:szCs w:val="20"/>
          <w:color w:val="auto"/>
        </w:rPr>
      </w:pPr>
    </w:p>
    <w:p>
      <w:pPr>
        <w:ind w:left="660" w:hanging="652"/>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71" w:lineRule="exact"/>
        <w:rPr>
          <w:rFonts w:ascii="Arial" w:cs="Arial" w:eastAsia="Arial" w:hAnsi="Arial"/>
          <w:sz w:val="18"/>
          <w:szCs w:val="18"/>
          <w:color w:val="auto"/>
        </w:rPr>
      </w:pPr>
    </w:p>
    <w:p>
      <w:pPr>
        <w:ind w:left="660" w:right="240" w:hanging="652"/>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NBCUniversal Media, LLC.</w:t>
      </w:r>
    </w:p>
    <w:p>
      <w:pPr>
        <w:spacing w:after="0" w:line="279"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31750</wp:posOffset>
            </wp:positionV>
            <wp:extent cx="35331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Name: Brian L. Roberts</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Title: Principal Executive Officer</w:t>
      </w:r>
    </w:p>
    <w:p>
      <w:pPr>
        <w:spacing w:after="0" w:line="360"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31750</wp:posOffset>
            </wp:positionV>
            <wp:extent cx="35331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Name: Michael J. Cavanagh</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Title: Principal Financial Officer</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2367"/>
    <w:multiLevelType w:val="hybridMultilevel"/>
    <w:lvl w:ilvl="0">
      <w:lvlJc w:val="left"/>
      <w:lvlText w:val="x"/>
      <w:numFmt w:val="bullet"/>
      <w:start w:val="1"/>
    </w:lvl>
  </w:abstractNum>
  <w:abstractNum w:abstractNumId="1">
    <w:nsid w:val="3804823E"/>
    <w:multiLevelType w:val="hybridMultilevel"/>
    <w:lvl w:ilvl="0">
      <w:lvlJc w:val="left"/>
      <w:lvlText w:val="c"/>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1)"/>
      <w:numFmt w:val="lowerLetter"/>
      <w:start w:val="1"/>
    </w:lvl>
    <w:lvl w:ilvl="1">
      <w:lvlJc w:val="left"/>
      <w:lvlText w:val="•"/>
      <w:numFmt w:val="bullet"/>
      <w:start w:val="1"/>
    </w:lvl>
  </w:abstractNum>
  <w:abstractNum w:abstractNumId="5">
    <w:nsid w:val="2463B9EA"/>
    <w:multiLevelType w:val="hybridMultilevel"/>
    <w:lvl w:ilvl="0">
      <w:lvlJc w:val="left"/>
      <w:lvlText w:val="(%1)"/>
      <w:numFmt w:val="lowerLetter"/>
      <w:start w:val="5"/>
    </w:lvl>
  </w:abstractNum>
  <w:abstractNum w:abstractNumId="6">
    <w:nsid w:val="5E884ADC"/>
    <w:multiLevelType w:val="hybridMultilevel"/>
    <w:lvl w:ilvl="0">
      <w:lvlJc w:val="left"/>
      <w:lvlText w:val="(%1)"/>
      <w:numFmt w:val="lowerLetter"/>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1)"/>
      <w:numFmt w:val="lowerLetter"/>
      <w:start w:val="1"/>
    </w:lvl>
  </w:abstractNum>
  <w:abstractNum w:abstractNumId="11">
    <w:nsid w:val="3855585C"/>
    <w:multiLevelType w:val="hybridMultilevel"/>
    <w:lvl w:ilvl="0">
      <w:lvlJc w:val="left"/>
      <w:lvlText w:val="(%1)"/>
      <w:numFmt w:val="lowerLetter"/>
      <w:start w:val="1"/>
    </w:lvl>
  </w:abstractNum>
  <w:abstractNum w:abstractNumId="12">
    <w:nsid w:val="70A64E2A"/>
    <w:multiLevelType w:val="hybridMultilevel"/>
    <w:lvl w:ilvl="0">
      <w:lvlJc w:val="left"/>
      <w:lvlText w:val="*"/>
      <w:numFmt w:val="bullet"/>
      <w:start w:val="1"/>
    </w:lvl>
    <w:lvl w:ilvl="1">
      <w:lvlJc w:val="left"/>
      <w:lvlText w:val="%2"/>
      <w:numFmt w:val="decimal"/>
      <w:start w:val="101"/>
    </w:lvl>
    <w:lvl w:ilvl="2">
      <w:lvlJc w:val="left"/>
      <w:lvlText w:val="(%3)"/>
      <w:numFmt w:val="lowerRoman"/>
      <w:start w:val="3"/>
    </w:lvl>
  </w:abstractNum>
  <w:abstractNum w:abstractNumId="13">
    <w:nsid w:val="6A2342EC"/>
    <w:multiLevelType w:val="hybridMultilevel"/>
    <w:lvl w:ilvl="0">
      <w:lvlJc w:val="left"/>
      <w:lvlText w:val="%1"/>
      <w:numFmt w:val="decimal"/>
      <w:start w:val="10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1)"/>
      <w:numFmt w:val="lowerLetter"/>
      <w:start w:val="1"/>
    </w:lvl>
  </w:abstractNum>
  <w:abstractNum w:abstractNumId="16">
    <w:nsid w:val="725A06FB"/>
    <w:multiLevelType w:val="hybridMultilevel"/>
    <w:lvl w:ilvl="0">
      <w:lvlJc w:val="left"/>
      <w:lvlText w:val="(%1)"/>
      <w:numFmt w:val="lowerLetter"/>
      <w:start w:val="4"/>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1."/>
      <w:numFmt w:val="decimal"/>
      <w:start w:val="1"/>
    </w:lvl>
    <w:lvl w:ilvl="1">
      <w:lvlJc w:val="left"/>
      <w:lvlText w:val="(%2)"/>
      <w:numFmt w:val="lowerLetter"/>
      <w:start w:val="1"/>
    </w:lvl>
  </w:abstractNum>
  <w:abstractNum w:abstractNumId="19">
    <w:nsid w:val="7A6D8D3C"/>
    <w:multiLevelType w:val="hybridMultilevel"/>
    <w:lvl w:ilvl="0">
      <w:lvlJc w:val="left"/>
      <w:lvlText w:val="%1"/>
      <w:numFmt w:val="lowerRoman"/>
      <w:start w:val="1"/>
    </w:lvl>
    <w:lvl w:ilvl="1">
      <w:lvlJc w:val="left"/>
      <w:lvlText w:val="%2"/>
      <w:numFmt w:val="lowerLetter"/>
      <w:start w:val="1"/>
    </w:lvl>
    <w:lvl w:ilvl="2">
      <w:lvlJc w:val="left"/>
      <w:lvlText w:val="%3."/>
      <w:numFmt w:val="decimal"/>
      <w:start w:val="3"/>
    </w:lvl>
    <w:lvl w:ilvl="3">
      <w:lvlJc w:val="left"/>
      <w:lvlText w:val="(%4)"/>
      <w:numFmt w:val="lowerLetter"/>
      <w:start w:val="1"/>
    </w:lvl>
    <w:lvl w:ilvl="4">
      <w:lvlJc w:val="left"/>
      <w:lvlText w:val="%5"/>
      <w:numFmt w:val="lowerRoman"/>
      <w:start w:val="1"/>
    </w:lvl>
  </w:abstractNum>
  <w:abstractNum w:abstractNumId="20">
    <w:nsid w:val="4B588F54"/>
    <w:multiLevelType w:val="hybridMultilevel"/>
    <w:lvl w:ilvl="0">
      <w:lvlJc w:val="left"/>
      <w:lvlText w:val="(%1)"/>
      <w:numFmt w:val="lowerRoman"/>
      <w:start w:val="1"/>
    </w:lvl>
    <w:lvl w:ilvl="1">
      <w:lvlJc w:val="left"/>
      <w:lvlText w:val="(%2)"/>
      <w:numFmt w:val="lowerLetter"/>
      <w:start w:val="35"/>
    </w:lvl>
    <w:lvl w:ilvl="2">
      <w:lvlJc w:val="left"/>
      <w:lvlText w:val="%3"/>
      <w:numFmt w:val="decimal"/>
      <w:start w:val="1"/>
    </w:lvl>
    <w:lvl w:ilvl="3">
      <w:lvlJc w:val="left"/>
      <w:lvlText w:val="(%4)"/>
      <w:numFmt w:val="lowerLetter"/>
      <w:start w:val="4"/>
    </w:lvl>
    <w:lvl w:ilvl="4">
      <w:lvlJc w:val="left"/>
      <w:lvlText w:val="(%5)"/>
      <w:numFmt w:val="lowerRoman"/>
      <w:start w:val="1"/>
    </w:lvl>
  </w:abstractNum>
  <w:abstractNum w:abstractNumId="21">
    <w:nsid w:val="542289EC"/>
    <w:multiLevelType w:val="hybridMultilevel"/>
    <w:lvl w:ilvl="0">
      <w:lvlJc w:val="left"/>
      <w:lvlText w:val="%1"/>
      <w:numFmt w:val="lowerRoman"/>
      <w:start w:val="1"/>
    </w:lvl>
    <w:lvl w:ilvl="1">
      <w:lvlJc w:val="left"/>
      <w:lvlText w:val="%2"/>
      <w:numFmt w:val="lowerLetter"/>
      <w:start w:val="1"/>
    </w:lvl>
    <w:lvl w:ilvl="2">
      <w:lvlJc w:val="left"/>
      <w:lvlText w:val="%3."/>
      <w:numFmt w:val="decimal"/>
      <w:start w:val="4"/>
    </w:lvl>
    <w:lvl w:ilvl="3">
      <w:lvlJc w:val="left"/>
      <w:lvlText w:val="(%4)"/>
      <w:numFmt w:val="lowerLetter"/>
      <w:start w:val="1"/>
    </w:lvl>
  </w:abstractNum>
  <w:abstractNum w:abstractNumId="22">
    <w:nsid w:val="6DE91B18"/>
    <w:multiLevelType w:val="hybridMultilevel"/>
    <w:lvl w:ilvl="0">
      <w:lvlJc w:val="left"/>
      <w:lvlText w:val="%1"/>
      <w:numFmt w:val="lowerRoman"/>
      <w:start w:val="1"/>
    </w:lvl>
    <w:lvl w:ilvl="1">
      <w:lvlJc w:val="left"/>
      <w:lvlText w:val="(%2)"/>
      <w:numFmt w:val="lowerLetter"/>
      <w:start w:val="2"/>
    </w:lvl>
    <w:lvl w:ilvl="2">
      <w:lvlJc w:val="left"/>
      <w:lvlText w:val="%3"/>
      <w:numFmt w:val="decimal"/>
      <w:start w:val="1"/>
    </w:lvl>
    <w:lvl w:ilvl="3">
      <w:lvlJc w:val="left"/>
      <w:lvlText w:val="(%4)"/>
      <w:numFmt w:val="lowerLetter"/>
      <w:start w:val="3"/>
    </w:lvl>
  </w:abstractNum>
  <w:abstractNum w:abstractNumId="23">
    <w:nsid w:val="38437FDB"/>
    <w:multiLevelType w:val="hybridMultilevel"/>
    <w:lvl w:ilvl="0">
      <w:lvlJc w:val="left"/>
      <w:lvlText w:val="(%1)"/>
      <w:numFmt w:val="lowerRoman"/>
      <w:start w:val="1"/>
    </w:lvl>
    <w:lvl w:ilvl="1">
      <w:lvlJc w:val="left"/>
      <w:lvlText w:val="%2"/>
      <w:numFmt w:val="lowerLetter"/>
      <w:start w:val="1"/>
    </w:lvl>
    <w:lvl w:ilvl="2">
      <w:lvlJc w:val="left"/>
      <w:lvlText w:val="%3"/>
      <w:numFmt w:val="decimal"/>
      <w:start w:val="1"/>
    </w:lvl>
    <w:lvl w:ilvl="3">
      <w:lvlJc w:val="left"/>
      <w:lvlText w:val="(%4)"/>
      <w:numFmt w:val="lowerLetter"/>
      <w:start w:val="35"/>
    </w:lvl>
  </w:abstractNum>
  <w:abstractNum w:abstractNumId="24">
    <w:nsid w:val="7644A45C"/>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Letter"/>
      <w:start w:val="4"/>
    </w:lvl>
  </w:abstractNum>
  <w:abstractNum w:abstractNumId="25">
    <w:nsid w:val="32FFF902"/>
    <w:multiLevelType w:val="hybridMultilevel"/>
    <w:lvl w:ilvl="0">
      <w:lvlJc w:val="left"/>
      <w:lvlText w:val="(%1)"/>
      <w:numFmt w:val="lowerRoman"/>
      <w:start w:val="1"/>
    </w:lvl>
    <w:lvl w:ilvl="1">
      <w:lvlJc w:val="left"/>
      <w:lvlText w:val="%2."/>
      <w:numFmt w:val="decimal"/>
      <w:start w:val="6"/>
    </w:lvl>
    <w:lvl w:ilvl="2">
      <w:lvlJc w:val="left"/>
      <w:lvlText w:val="(%3)"/>
      <w:numFmt w:val="lowerLetter"/>
      <w:start w:val="35"/>
    </w:lvl>
    <w:lvl w:ilvl="3">
      <w:lvlJc w:val="left"/>
      <w:lvlText w:val="%4"/>
      <w:numFmt w:val="lowerLetter"/>
      <w:start w:val="1"/>
    </w:lvl>
  </w:abstractNum>
  <w:abstractNum w:abstractNumId="26">
    <w:nsid w:val="684A481A"/>
    <w:multiLevelType w:val="hybridMultilevel"/>
    <w:lvl w:ilvl="0">
      <w:lvlJc w:val="left"/>
      <w:lvlText w:val="(%1)"/>
      <w:numFmt w:val="lowerLetter"/>
      <w:start w:val="1"/>
    </w:lvl>
  </w:abstractNum>
  <w:abstractNum w:abstractNumId="27">
    <w:nsid w:val="579478FE"/>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3"/>
    </w:lvl>
    <w:lvl w:ilvl="3">
      <w:lvlJc w:val="left"/>
      <w:lvlText w:val="(%4)"/>
      <w:numFmt w:val="lowerRoman"/>
      <w:start w:val="1"/>
    </w:lvl>
  </w:abstractNum>
  <w:abstractNum w:abstractNumId="28">
    <w:nsid w:val="749ABB43"/>
    <w:multiLevelType w:val="hybridMultilevel"/>
    <w:lvl w:ilvl="0">
      <w:lvlJc w:val="left"/>
      <w:lvlText w:val="(%1)"/>
      <w:numFmt w:val="upperLetter"/>
      <w:start w:val="1"/>
    </w:lvl>
    <w:lvl w:ilvl="1">
      <w:lvlJc w:val="left"/>
      <w:lvlText w:val="(%2)"/>
      <w:numFmt w:val="lowerRoman"/>
      <w:start w:val="2"/>
    </w:lvl>
    <w:lvl w:ilvl="2">
      <w:lvlJc w:val="left"/>
      <w:lvlText w:val="%3"/>
      <w:numFmt w:val="lowerLetter"/>
      <w:start w:val="1"/>
    </w:lvl>
    <w:lvl w:ilvl="3">
      <w:lvlJc w:val="left"/>
      <w:lvlText w:val="(%4)"/>
      <w:numFmt w:val="lowerRoman"/>
      <w:start w:val="3"/>
    </w:lvl>
  </w:abstractNum>
  <w:abstractNum w:abstractNumId="29">
    <w:nsid w:val="3DC240FB"/>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lvl w:ilvl="3">
      <w:lvlJc w:val="left"/>
      <w:lvlText w:val="%4"/>
      <w:numFmt w:val="lowerLetter"/>
      <w:start w:val="1"/>
    </w:lvl>
    <w:lvl w:ilvl="4">
      <w:lvlJc w:val="left"/>
      <w:lvlText w:val="(%5)"/>
      <w:numFmt w:val="lowerLetter"/>
      <w:start w:val="22"/>
    </w:lvl>
  </w:abstractNum>
  <w:abstractNum w:abstractNumId="30">
    <w:nsid w:val="1BA026FA"/>
    <w:multiLevelType w:val="hybridMultilevel"/>
    <w:lvl w:ilvl="0">
      <w:lvlJc w:val="left"/>
      <w:lvlText w:val="%1."/>
      <w:numFmt w:val="decimal"/>
      <w:start w:val="8"/>
    </w:lvl>
    <w:lvl w:ilvl="1">
      <w:lvlJc w:val="left"/>
      <w:lvlText w:val="(%2)"/>
      <w:numFmt w:val="lowerRoman"/>
      <w:start w:val="1"/>
    </w:lvl>
    <w:lvl w:ilvl="2">
      <w:lvlJc w:val="left"/>
      <w:lvlText w:val="(%3)"/>
      <w:numFmt w:val="lowerLetter"/>
      <w:start w:val="61"/>
    </w:lvl>
    <w:lvl w:ilvl="3">
      <w:lvlJc w:val="left"/>
      <w:lvlText w:val="(%4)"/>
      <w:numFmt w:val="lowerLetter"/>
      <w:start w:val="1"/>
    </w:lvl>
    <w:lvl w:ilvl="4">
      <w:lvlJc w:val="left"/>
      <w:lvlText w:val="%5"/>
      <w:numFmt w:val="lowerLetter"/>
      <w:start w:val="1"/>
    </w:lvl>
  </w:abstractNum>
  <w:abstractNum w:abstractNumId="31">
    <w:nsid w:val="79A1DEAA"/>
    <w:multiLevelType w:val="hybridMultilevel"/>
    <w:lvl w:ilvl="0">
      <w:lvlJc w:val="left"/>
      <w:lvlText w:val="%1"/>
      <w:numFmt w:val="lowerLetter"/>
      <w:start w:val="1"/>
    </w:lvl>
    <w:lvl w:ilvl="1">
      <w:lvlJc w:val="left"/>
      <w:lvlText w:val="(%2)"/>
      <w:numFmt w:val="lowerRoman"/>
      <w:start w:val="4"/>
    </w:lvl>
  </w:abstractNum>
  <w:abstractNum w:abstractNumId="32">
    <w:nsid w:val="75C6C33A"/>
    <w:multiLevelType w:val="hybridMultilevel"/>
    <w:lvl w:ilvl="0">
      <w:lvlJc w:val="left"/>
      <w:lvlText w:val="(%1)"/>
      <w:numFmt w:val="lowerLetter"/>
      <w:start w:val="3"/>
    </w:lvl>
    <w:lvl w:ilvl="1">
      <w:lvlJc w:val="left"/>
      <w:lvlText w:val="%2"/>
      <w:numFmt w:val="lowerRoman"/>
      <w:start w:val="1"/>
    </w:lvl>
  </w:abstractNum>
  <w:abstractNum w:abstractNumId="33">
    <w:nsid w:val="12E685FB"/>
    <w:multiLevelType w:val="hybridMultilevel"/>
    <w:lvl w:ilvl="0">
      <w:lvlJc w:val="left"/>
      <w:lvlText w:val="(%1)"/>
      <w:numFmt w:val="lowerLetter"/>
      <w:start w:val="4"/>
    </w:lvl>
  </w:abstractNum>
  <w:abstractNum w:abstractNumId="34">
    <w:nsid w:val="70C6A52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5"/>
    </w:lvl>
  </w:abstractNum>
  <w:abstractNum w:abstractNumId="35">
    <w:nsid w:val="520EEDD1"/>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abstractNum>
  <w:abstractNum w:abstractNumId="36">
    <w:nsid w:val="374A3FE6"/>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37">
    <w:nsid w:val="4F4EF005"/>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38">
    <w:nsid w:val="23F9C13C"/>
    <w:multiLevelType w:val="hybridMultilevel"/>
    <w:lvl w:ilvl="0">
      <w:lvlJc w:val="left"/>
      <w:lvlText w:val="(%1)"/>
      <w:numFmt w:val="lowerLetter"/>
      <w:start w:val="5"/>
    </w:lvl>
    <w:lvl w:ilvl="1">
      <w:lvlJc w:val="left"/>
      <w:lvlText w:val="%2"/>
      <w:numFmt w:val="decimal"/>
      <w:start w:val="1"/>
    </w:lvl>
    <w:lvl w:ilvl="2">
      <w:lvlJc w:val="left"/>
      <w:lvlText w:val="%3"/>
      <w:numFmt w:val="lowerLetter"/>
      <w:start w:val="1"/>
    </w:lvl>
  </w:abstractNum>
  <w:abstractNum w:abstractNumId="39">
    <w:nsid w:val="649BB77C"/>
    <w:multiLevelType w:val="hybridMultilevel"/>
    <w:lvl w:ilvl="0">
      <w:lvlJc w:val="left"/>
      <w:lvlText w:val="(%1)"/>
      <w:numFmt w:val="lowerLetter"/>
      <w:start w:val="5"/>
    </w:lvl>
    <w:lvl w:ilvl="1">
      <w:lvlJc w:val="left"/>
      <w:lvlText w:val="%2"/>
      <w:numFmt w:val="decimal"/>
      <w:start w:val="1"/>
    </w:lvl>
    <w:lvl w:ilvl="2">
      <w:lvlJc w:val="left"/>
      <w:lvlText w:val="(%3)"/>
      <w:numFmt w:val="lowerLetter"/>
      <w:start w:val="2"/>
    </w:lvl>
  </w:abstractNum>
  <w:abstractNum w:abstractNumId="40">
    <w:nsid w:val="275AC794"/>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1"/>
    </w:lvl>
    <w:lvl w:ilvl="3">
      <w:lvlJc w:val="left"/>
      <w:lvlText w:val="(%4)"/>
      <w:numFmt w:val="lowerLetter"/>
      <w:start w:val="1"/>
    </w:lvl>
  </w:abstractNum>
  <w:abstractNum w:abstractNumId="41">
    <w:nsid w:val="39386575"/>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lowerLetter"/>
      <w:start w:val="1"/>
    </w:lvl>
  </w:abstractNum>
  <w:abstractNum w:abstractNumId="42">
    <w:nsid w:val="1CF10FD8"/>
    <w:multiLevelType w:val="hybridMultilevel"/>
    <w:lvl w:ilvl="0">
      <w:lvlJc w:val="left"/>
      <w:lvlText w:val="(%1)"/>
      <w:numFmt w:val="lowerLetter"/>
      <w:start w:val="35"/>
    </w:lvl>
    <w:lvl w:ilvl="1">
      <w:lvlJc w:val="left"/>
      <w:lvlText w:val="%2"/>
      <w:numFmt w:val="lowerRoman"/>
      <w:start w:val="1"/>
    </w:lvl>
    <w:lvl w:ilvl="2">
      <w:lvlJc w:val="left"/>
      <w:lvlText w:val="%3"/>
      <w:numFmt w:val="decimal"/>
      <w:start w:val="1"/>
    </w:lvl>
    <w:lvl w:ilvl="3">
      <w:lvlJc w:val="left"/>
      <w:lvlText w:val="%4"/>
      <w:numFmt w:val="lowerLetter"/>
      <w:start w:val="1"/>
    </w:lvl>
  </w:abstractNum>
  <w:abstractNum w:abstractNumId="43">
    <w:nsid w:val="180115BE"/>
    <w:multiLevelType w:val="hybridMultilevel"/>
    <w:lvl w:ilvl="0">
      <w:lvlJc w:val="left"/>
      <w:lvlText w:val="(%1)"/>
      <w:numFmt w:val="lowerRoman"/>
      <w:start w:val="3"/>
    </w:lvl>
  </w:abstractNum>
  <w:abstractNum w:abstractNumId="44">
    <w:nsid w:val="235BA861"/>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2"/>
    </w:lvl>
  </w:abstractNum>
  <w:abstractNum w:abstractNumId="45">
    <w:nsid w:val="47398C89"/>
    <w:multiLevelType w:val="hybridMultilevel"/>
    <w:lvl w:ilvl="0">
      <w:lvlJc w:val="left"/>
      <w:lvlText w:val="(%1)"/>
      <w:numFmt w:val="lowerRoman"/>
      <w:start w:val="1"/>
    </w:lvl>
    <w:lvl w:ilvl="1">
      <w:lvlJc w:val="left"/>
      <w:lvlText w:val="(%2)"/>
      <w:numFmt w:val="lowerLetter"/>
      <w:start w:val="35"/>
    </w:lvl>
    <w:lvl w:ilvl="2">
      <w:lvlJc w:val="left"/>
      <w:lvlText w:val="%3"/>
      <w:numFmt w:val="lowerLetter"/>
      <w:start w:val="1"/>
    </w:lvl>
  </w:abstractNum>
  <w:abstractNum w:abstractNumId="46">
    <w:nsid w:val="354FE9F9"/>
    <w:multiLevelType w:val="hybridMultilevel"/>
    <w:lvl w:ilvl="0">
      <w:lvlJc w:val="left"/>
      <w:lvlText w:val="%1."/>
      <w:numFmt w:val="decimal"/>
      <w:start w:val="12"/>
    </w:lvl>
    <w:lvl w:ilvl="1">
      <w:lvlJc w:val="left"/>
      <w:lvlText w:val="%2."/>
      <w:numFmt w:val="decimal"/>
      <w:start w:val="13"/>
    </w:lvl>
    <w:lvl w:ilvl="2">
      <w:lvlJc w:val="left"/>
      <w:lvlText w:val="(%3)"/>
      <w:numFmt w:val="lowerLetter"/>
      <w:start w:val="1"/>
    </w:lvl>
  </w:abstractNum>
  <w:abstractNum w:abstractNumId="47">
    <w:nsid w:val="15B5AF5C"/>
    <w:multiLevelType w:val="hybridMultilevel"/>
    <w:lvl w:ilvl="0">
      <w:lvlJc w:val="left"/>
      <w:lvlText w:val="(%1)"/>
      <w:numFmt w:val="lowerLetter"/>
      <w:start w:val="2"/>
    </w:lvl>
  </w:abstractNum>
  <w:abstractNum w:abstractNumId="48">
    <w:nsid w:val="741226BB"/>
    <w:multiLevelType w:val="hybridMultilevel"/>
    <w:lvl w:ilvl="0">
      <w:lvlJc w:val="left"/>
      <w:lvlText w:val="%1."/>
      <w:numFmt w:val="decimal"/>
      <w:start w:val="14"/>
    </w:lvl>
  </w:abstractNum>
  <w:abstractNum w:abstractNumId="49">
    <w:nsid w:val="D34B6A8"/>
    <w:multiLevelType w:val="hybridMultilevel"/>
    <w:lvl w:ilvl="0">
      <w:lvlJc w:val="left"/>
      <w:lvlText w:val="(%1)"/>
      <w:numFmt w:val="lowerLetter"/>
      <w:start w:val="1"/>
    </w:lvl>
  </w:abstractNum>
  <w:abstractNum w:abstractNumId="50">
    <w:nsid w:val="10233C99"/>
    <w:multiLevelType w:val="hybridMultilevel"/>
    <w:lvl w:ilvl="0">
      <w:lvlJc w:val="left"/>
      <w:lvlText w:val="%1"/>
      <w:numFmt w:val="decimal"/>
      <w:start w:val="1"/>
    </w:lvl>
    <w:lvl w:ilvl="1">
      <w:lvlJc w:val="left"/>
      <w:lvlText w:val="%2."/>
      <w:numFmt w:val="decimal"/>
      <w:start w:val="15"/>
    </w:lvl>
  </w:abstractNum>
  <w:abstractNum w:abstractNumId="51">
    <w:nsid w:val="3F6AB60F"/>
    <w:multiLevelType w:val="hybridMultilevel"/>
    <w:lvl w:ilvl="0">
      <w:lvlJc w:val="left"/>
      <w:lvlText w:val="%1."/>
      <w:numFmt w:val="decimal"/>
      <w:start w:val="17"/>
    </w:lvl>
    <w:lvl w:ilvl="1">
      <w:lvlJc w:val="left"/>
      <w:lvlText w:val="%2."/>
      <w:numFmt w:val="decimal"/>
      <w:start w:val="19"/>
    </w:lvl>
  </w:abstractNum>
  <w:abstractNum w:abstractNumId="52">
    <w:nsid w:val="61574095"/>
    <w:multiLevelType w:val="hybridMultilevel"/>
    <w:lvl w:ilvl="0">
      <w:lvlJc w:val="left"/>
      <w:lvlText w:val="%1"/>
      <w:numFmt w:val="decimal"/>
      <w:start w:val="1"/>
    </w:lvl>
    <w:lvl w:ilvl="1">
      <w:lvlJc w:val="left"/>
      <w:lvlText w:val="%2."/>
      <w:numFmt w:val="decimal"/>
      <w:start w:val="20"/>
    </w:lvl>
    <w:lvl w:ilvl="2">
      <w:lvlJc w:val="left"/>
      <w:lvlText w:val="%3."/>
      <w:numFmt w:val="decimal"/>
      <w:start w:val="22"/>
    </w:lvl>
  </w:abstractNum>
  <w:abstractNum w:abstractNumId="53">
    <w:nsid w:val="7E0C57B1"/>
    <w:multiLevelType w:val="hybridMultilevel"/>
    <w:lvl w:ilvl="0">
      <w:lvlJc w:val="left"/>
      <w:lvlText w:val="%1."/>
      <w:numFmt w:val="decimal"/>
      <w:start w:val="23"/>
    </w:lvl>
    <w:lvl w:ilvl="1">
      <w:lvlJc w:val="left"/>
      <w:lvlText w:val="%2"/>
      <w:numFmt w:val="decimal"/>
      <w:start w:val="1"/>
    </w:lvl>
    <w:lvl w:ilvl="2">
      <w:lvlJc w:val="left"/>
      <w:lvlText w:val="%3"/>
      <w:numFmt w:val="decimal"/>
      <w:start w:val="1"/>
    </w:lvl>
  </w:abstractNum>
  <w:abstractNum w:abstractNumId="54">
    <w:nsid w:val="77AE35EB"/>
    <w:multiLevelType w:val="hybridMultilevel"/>
    <w:lvl w:ilvl="0">
      <w:lvlJc w:val="left"/>
      <w:lvlText w:val="%1."/>
      <w:numFmt w:val="decimal"/>
      <w:start w:val="1"/>
    </w:lvl>
  </w:abstractNum>
  <w:abstractNum w:abstractNumId="55">
    <w:nsid w:val="579BE4F1"/>
    <w:multiLevelType w:val="hybridMultilevel"/>
    <w:lvl w:ilvl="0">
      <w:lvlJc w:val="left"/>
      <w:lvlText w:val="%1."/>
      <w:numFmt w:val="decimal"/>
      <w:start w:val="6"/>
    </w:lvl>
  </w:abstractNum>
  <w:abstractNum w:abstractNumId="56">
    <w:nsid w:val="310C50B3"/>
    <w:multiLevelType w:val="hybridMultilevel"/>
    <w:lvl w:ilvl="0">
      <w:lvlJc w:val="left"/>
      <w:lvlText w:val="%1."/>
      <w:numFmt w:val="decimal"/>
      <w:start w:val="1"/>
    </w:lvl>
  </w:abstractNum>
  <w:abstractNum w:abstractNumId="57">
    <w:nsid w:val="5FF87E05"/>
    <w:multiLevelType w:val="hybridMultilevel"/>
    <w:lvl w:ilvl="0">
      <w:lvlJc w:val="left"/>
      <w:lvlText w:val="%1."/>
      <w:numFmt w:val="decimal"/>
      <w:start w:val="1"/>
    </w:lvl>
  </w:abstractNum>
  <w:abstractNum w:abstractNumId="58">
    <w:nsid w:val="2F305DEF"/>
    <w:multiLevelType w:val="hybridMultilevel"/>
    <w:lvl w:ilvl="0">
      <w:lvlJc w:val="left"/>
      <w:lvlText w:val="(%1)"/>
      <w:numFmt w:val="lowerLetter"/>
      <w:start w:val="1"/>
    </w:lvl>
  </w:abstractNum>
  <w:abstractNum w:abstractNumId="59">
    <w:nsid w:val="25A70BF7"/>
    <w:multiLevelType w:val="hybridMultilevel"/>
    <w:lvl w:ilvl="0">
      <w:lvlJc w:val="left"/>
      <w:lvlText w:val="(%1)"/>
      <w:numFmt w:val="lowerLetter"/>
      <w:start w:val="6"/>
    </w:lvl>
    <w:lvl w:ilvl="1">
      <w:lvlJc w:val="left"/>
      <w:lvlText w:val="(%2)"/>
      <w:numFmt w:val="decimal"/>
      <w:start w:val="1"/>
    </w:lvl>
  </w:abstractNum>
  <w:abstractNum w:abstractNumId="60">
    <w:nsid w:val="1DBABF00"/>
    <w:multiLevelType w:val="hybridMultilevel"/>
    <w:lvl w:ilvl="0">
      <w:lvlJc w:val="left"/>
      <w:lvlText w:val="%1"/>
      <w:numFmt w:val="lowerLetter"/>
      <w:start w:val="1"/>
    </w:lvl>
    <w:lvl w:ilvl="1">
      <w:lvlJc w:val="left"/>
      <w:lvlText w:val="(%2)"/>
      <w:numFmt w:val="decimal"/>
      <w:start w:val="2"/>
    </w:lvl>
  </w:abstractNum>
  <w:abstractNum w:abstractNumId="61">
    <w:nsid w:val="4AD084E9"/>
    <w:multiLevelType w:val="hybridMultilevel"/>
    <w:lvl w:ilvl="0">
      <w:lvlJc w:val="left"/>
      <w:lvlText w:val="(%1)"/>
      <w:numFmt w:val="lowerLetter"/>
      <w:start w:val="7"/>
    </w:lvl>
    <w:lvl w:ilvl="1">
      <w:lvlJc w:val="left"/>
      <w:lvlText w:val="(%2)"/>
      <w:numFmt w:val="decimal"/>
      <w:start w:val="1"/>
    </w:lvl>
  </w:abstractNum>
  <w:abstractNum w:abstractNumId="62">
    <w:nsid w:val="1F48EAA1"/>
    <w:multiLevelType w:val="hybridMultilevel"/>
    <w:lvl w:ilvl="0">
      <w:lvlJc w:val="left"/>
      <w:lvlText w:val="%1"/>
      <w:numFmt w:val="decimal"/>
      <w:start w:val="1"/>
    </w:lvl>
    <w:lvl w:ilvl="1">
      <w:lvlJc w:val="left"/>
      <w:lvlText w:val="(%2)"/>
      <w:numFmt w:val="lowerLetter"/>
      <w:start w:val="17"/>
    </w:lvl>
  </w:abstractNum>
  <w:abstractNum w:abstractNumId="63">
    <w:nsid w:val="1381823A"/>
    <w:multiLevelType w:val="hybridMultilevel"/>
    <w:lvl w:ilvl="0">
      <w:lvlJc w:val="left"/>
      <w:lvlText w:val="%1."/>
      <w:numFmt w:val="decimal"/>
      <w:start w:val="2"/>
    </w:lvl>
    <w:lvl w:ilvl="1">
      <w:lvlJc w:val="left"/>
      <w:lvlText w:val="(%2)"/>
      <w:numFmt w:val="lowerLetter"/>
      <w:start w:val="1"/>
    </w:lvl>
  </w:abstractNum>
  <w:abstractNum w:abstractNumId="64">
    <w:nsid w:val="5DB70AE5"/>
    <w:multiLevelType w:val="hybridMultilevel"/>
    <w:lvl w:ilvl="0">
      <w:lvlJc w:val="left"/>
      <w:lvlText w:val="%1."/>
      <w:numFmt w:val="decimal"/>
      <w:start w:val="8"/>
    </w:lvl>
    <w:lvl w:ilvl="1">
      <w:lvlJc w:val="left"/>
      <w:lvlText w:val="(%2)"/>
      <w:numFmt w:val="lowerLetter"/>
      <w:start w:val="1"/>
    </w:lvl>
  </w:abstractNum>
  <w:abstractNum w:abstractNumId="65">
    <w:nsid w:val="100F8FCA"/>
    <w:multiLevelType w:val="hybridMultilevel"/>
    <w:lvl w:ilvl="0">
      <w:lvlJc w:val="left"/>
      <w:lvlText w:val="%1."/>
      <w:numFmt w:val="decimal"/>
      <w:start w:val="1"/>
    </w:lvl>
    <w:lvl w:ilvl="1">
      <w:lvlJc w:val="left"/>
      <w:lvlText w:val="%2)"/>
      <w:numFmt w:val="lowerLetter"/>
      <w:start w:val="1"/>
    </w:lvl>
  </w:abstractNum>
  <w:abstractNum w:abstractNumId="66">
    <w:nsid w:val="6590700B"/>
    <w:multiLevelType w:val="hybridMultilevel"/>
    <w:lvl w:ilvl="0">
      <w:lvlJc w:val="left"/>
      <w:lvlText w:val="%1."/>
      <w:numFmt w:val="decimal"/>
      <w:start w:val="1"/>
    </w:lvl>
    <w:lvl w:ilvl="1">
      <w:lvlJc w:val="left"/>
      <w:lvlText w:val="%2)"/>
      <w:numFmt w:val="lowerLetter"/>
      <w:start w:val="1"/>
    </w:lvl>
  </w:abstractNum>
  <w:abstractNum w:abstractNumId="67">
    <w:nsid w:val="15014ACB"/>
    <w:multiLevelType w:val="hybridMultilevel"/>
    <w:lvl w:ilvl="0">
      <w:lvlJc w:val="left"/>
      <w:lvlText w:val="%1."/>
      <w:numFmt w:val="decimal"/>
      <w:start w:val="1"/>
    </w:lvl>
    <w:lvl w:ilvl="1">
      <w:lvlJc w:val="left"/>
      <w:lvlText w:val="%2)"/>
      <w:numFmt w:val="lowerLetter"/>
      <w:start w:val="1"/>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decimal"/>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20" Type="http://schemas.openxmlformats.org/officeDocument/2006/relationships/hyperlink" Target="http://www.sec.gov/Archives/edgar/data/902739/000095010318005136/dp89893_ex1001.htm" TargetMode="External"/><Relationship Id="rId21" Type="http://schemas.openxmlformats.org/officeDocument/2006/relationships/hyperlink" Target="http://www.sec.gov/Archives/edgar/data/902739/000095010318005136/dp89893_ex1002.htm" TargetMode="External"/><Relationship Id="rId22" Type="http://schemas.openxmlformats.org/officeDocument/2006/relationships/hyperlink" Target="http://www.sec.gov/Archives/edgar/data/902739/000095010318005454/dp90124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2019-12-28T20:56:21Z</dcterms:created>
  <dcterms:modified xsi:type="dcterms:W3CDTF">2019-12-28T20:56:21Z</dcterms:modified>
</cp:coreProperties>
</file>