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</w:tr>
      <w:tr>
        <w:trPr>
          <w:trHeight w:val="422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</w:tr>
      <w:tr>
        <w:trPr>
          <w:trHeight w:val="166"/>
        </w:trPr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Sovern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Michael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Corporation): CMCSA and CMCSK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11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right="5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02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</w:tr>
      <w:tr>
        <w:trPr>
          <w:trHeight w:val="149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</w:tr>
      <w:tr>
        <w:trPr>
          <w:trHeight w:val="149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Sotheby's Holdings,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20, 2002</w:t>
            </w:r>
          </w:p>
        </w:tc>
      </w:tr>
      <w:tr>
        <w:trPr>
          <w:trHeight w:val="166"/>
        </w:trPr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1334 York Avenue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39" w:right="1000" w:hanging="139"/>
        <w:spacing w:after="0" w:line="239" w:lineRule="auto"/>
        <w:tabs>
          <w:tab w:leader="none" w:pos="139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59"/>
        <w:spacing w:after="0"/>
        <w:tabs>
          <w:tab w:leader="none" w:pos="131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59"/>
        <w:spacing w:after="0"/>
        <w:tabs>
          <w:tab w:leader="none" w:pos="13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20" w:space="21"/>
            <w:col w:w="3579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New York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NY</w:t>
            </w: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10021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1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Securities Acquired (A)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1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or Disposed 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1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Date, 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1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1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1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9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200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744</w:t>
            </w:r>
          </w:p>
        </w:tc>
        <w:tc>
          <w:tcPr>
            <w:tcW w:w="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744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863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6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1107440</wp:posOffset>
            </wp:positionH>
            <wp:positionV relativeFrom="paragraph">
              <wp:posOffset>140335</wp:posOffset>
            </wp:positionV>
            <wp:extent cx="42545" cy="2846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1510030</wp:posOffset>
            </wp:positionH>
            <wp:positionV relativeFrom="paragraph">
              <wp:posOffset>140335</wp:posOffset>
            </wp:positionV>
            <wp:extent cx="42545" cy="2846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1896110</wp:posOffset>
            </wp:positionH>
            <wp:positionV relativeFrom="paragraph">
              <wp:posOffset>140335</wp:posOffset>
            </wp:positionV>
            <wp:extent cx="42545" cy="28467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2419350</wp:posOffset>
            </wp:positionH>
            <wp:positionV relativeFrom="paragraph">
              <wp:posOffset>140335</wp:posOffset>
            </wp:positionV>
            <wp:extent cx="42545" cy="28467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140335</wp:posOffset>
            </wp:positionV>
            <wp:extent cx="42545" cy="28467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3559810</wp:posOffset>
            </wp:positionH>
            <wp:positionV relativeFrom="paragraph">
              <wp:posOffset>140335</wp:posOffset>
            </wp:positionV>
            <wp:extent cx="42545" cy="28467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4391660</wp:posOffset>
            </wp:positionH>
            <wp:positionV relativeFrom="paragraph">
              <wp:posOffset>140335</wp:posOffset>
            </wp:positionV>
            <wp:extent cx="42545" cy="28467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5403850</wp:posOffset>
            </wp:positionH>
            <wp:positionV relativeFrom="paragraph">
              <wp:posOffset>140335</wp:posOffset>
            </wp:positionV>
            <wp:extent cx="42545" cy="28467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5798185</wp:posOffset>
            </wp:positionH>
            <wp:positionV relativeFrom="paragraph">
              <wp:posOffset>140335</wp:posOffset>
            </wp:positionV>
            <wp:extent cx="42545" cy="28467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6261100</wp:posOffset>
            </wp:positionH>
            <wp:positionV relativeFrom="paragraph">
              <wp:posOffset>140335</wp:posOffset>
            </wp:positionV>
            <wp:extent cx="42545" cy="28467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8638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6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6776085</wp:posOffset>
            </wp:positionH>
            <wp:positionV relativeFrom="paragraph">
              <wp:posOffset>140335</wp:posOffset>
            </wp:positionV>
            <wp:extent cx="42545" cy="28467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2. Conver- 3. Trans-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5. Number of Deriv- 6. Date Exercisable</w:t>
            </w: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Disposed of 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Securities: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$25.0000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11/20/02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5/20/2003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11/20/2012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2710815</wp:posOffset>
            </wp:positionH>
            <wp:positionV relativeFrom="paragraph">
              <wp:posOffset>-2130425</wp:posOffset>
            </wp:positionV>
            <wp:extent cx="42545" cy="21348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3302635</wp:posOffset>
            </wp:positionH>
            <wp:positionV relativeFrom="paragraph">
              <wp:posOffset>-2130425</wp:posOffset>
            </wp:positionV>
            <wp:extent cx="42545" cy="21348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3980180</wp:posOffset>
            </wp:positionH>
            <wp:positionV relativeFrom="paragraph">
              <wp:posOffset>-2130425</wp:posOffset>
            </wp:positionV>
            <wp:extent cx="42545" cy="21348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5009515</wp:posOffset>
            </wp:positionH>
            <wp:positionV relativeFrom="paragraph">
              <wp:posOffset>-2130425</wp:posOffset>
            </wp:positionV>
            <wp:extent cx="42545" cy="213487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500" w:hanging="426"/>
        <w:spacing w:after="0" w:line="286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Shares were acquired pursuant to the merger (the "Merger") of each of Comcast Holdings Corporation (formerly named Comcast Corporation) and Comcast Cable Communications Holdings, Inc. (formerly named AT&amp;T Broadband Corp.) with wholly-owned subsidiaries of the Issuer.</w:t>
      </w:r>
    </w:p>
    <w:p>
      <w:pPr>
        <w:ind w:left="580" w:right="520" w:hanging="426"/>
        <w:spacing w:after="0" w:line="261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With respect to equity awards converted in the Merger, the Reporting Person will file an amendment to this Form 4 when all variables necessary to calculate the conversions are known.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/s/ Michael I. Sovern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Michael I. Sovern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2019-12-12T02:14:03Z</dcterms:created>
  <dcterms:modified xsi:type="dcterms:W3CDTF">2019-12-12T02:14:03Z</dcterms:modified>
</cp:coreProperties>
</file>