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55"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TO § 240.13d-1(a) AND AMENDMENTS THERETO FILED PURSUANT TO</w:t>
      </w:r>
    </w:p>
    <w:p>
      <w:pPr>
        <w:spacing w:after="0" w:line="9" w:lineRule="exact"/>
        <w:rPr>
          <w:sz w:val="24"/>
          <w:szCs w:val="24"/>
          <w:color w:val="auto"/>
        </w:rPr>
      </w:pPr>
    </w:p>
    <w:p>
      <w:pPr>
        <w:ind w:left="4860" w:right="4680" w:firstLine="309"/>
        <w:spacing w:after="0" w:line="574" w:lineRule="auto"/>
        <w:tabs>
          <w:tab w:leader="none" w:pos="529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240.13d-1(a) (Amendment No. __)*</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CLEARWIRE CORPORATION</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18538Q105</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Arthur R. Block, Esq.</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1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L. Caplan, Esq.</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William J. Chudd, Esq.</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Davis Polk &amp; Wardwell</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701 5800</w:t>
      </w: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October 17, 2012</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9"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29"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13" w:lineRule="exact"/>
        <w:rPr>
          <w:sz w:val="24"/>
          <w:szCs w:val="24"/>
          <w:color w:val="auto"/>
        </w:rPr>
      </w:pPr>
    </w:p>
    <w:p>
      <w:pPr>
        <w:ind w:left="340" w:right="60" w:hanging="287"/>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633" w:right="419" w:bottom="1440" w:gutter="0" w:footer="0" w:header="0"/>
        </w:sectPr>
      </w:pPr>
    </w:p>
    <w:bookmarkStart w:id="1" w:name="page2"/>
    <w:bookmarkEnd w:id="1"/>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6410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6410325"/>
                    </a:xfrm>
                    <a:prstGeom prst="rect">
                      <a:avLst/>
                    </a:prstGeom>
                    <a:noFill/>
                  </pic:spPr>
                </pic:pic>
              </a:graphicData>
            </a:graphic>
          </wp:anchor>
        </w:drawing>
      </w:r>
    </w:p>
    <w:p>
      <w:pPr>
        <w:spacing w:after="0" w:line="304" w:lineRule="exact"/>
        <w:rPr>
          <w:sz w:val="20"/>
          <w:szCs w:val="20"/>
          <w:color w:val="auto"/>
        </w:rPr>
      </w:pPr>
    </w:p>
    <w:p>
      <w:pPr>
        <w:ind w:left="940" w:right="8580" w:hanging="891"/>
        <w:spacing w:after="0" w:line="431"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Comcast Corporation</w:t>
      </w:r>
    </w:p>
    <w:p>
      <w:pPr>
        <w:ind w:left="940" w:hanging="891"/>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9" w:lineRule="exact"/>
        <w:rPr>
          <w:rFonts w:ascii="Times New Roman" w:cs="Times New Roman" w:eastAsia="Times New Roman" w:hAnsi="Times New Roman"/>
          <w:sz w:val="18"/>
          <w:szCs w:val="18"/>
          <w:color w:val="auto"/>
        </w:rPr>
      </w:pPr>
    </w:p>
    <w:p>
      <w:pPr>
        <w:ind w:left="1220" w:hanging="285"/>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 w:lineRule="exact"/>
        <w:rPr>
          <w:rFonts w:ascii="Times New Roman" w:cs="Times New Roman" w:eastAsia="Times New Roman" w:hAnsi="Times New Roman"/>
          <w:sz w:val="18"/>
          <w:szCs w:val="18"/>
          <w:color w:val="auto"/>
        </w:rPr>
      </w:pPr>
    </w:p>
    <w:p>
      <w:pPr>
        <w:ind w:left="1240" w:hanging="305"/>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WC</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r>
      <w:tr>
        <w:trPr>
          <w:trHeight w:val="502"/>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o</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(7)</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48"/>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448"/>
        </w:trPr>
        <w:tc>
          <w:tcPr>
            <w:tcW w:w="33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beneficially owned by</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r>
      <w:tr>
        <w:trPr>
          <w:trHeight w:val="234"/>
        </w:trPr>
        <w:tc>
          <w:tcPr>
            <w:tcW w:w="540" w:type="dxa"/>
            <w:vAlign w:val="bottom"/>
          </w:tcPr>
          <w:p>
            <w:pPr>
              <w:spacing w:after="0"/>
              <w:rPr>
                <w:sz w:val="20"/>
                <w:szCs w:val="20"/>
                <w:color w:val="auto"/>
              </w:rPr>
            </w:pPr>
          </w:p>
        </w:tc>
        <w:tc>
          <w:tcPr>
            <w:tcW w:w="2820" w:type="dxa"/>
            <w:vAlign w:val="bottom"/>
            <w:tcBorders>
              <w:right w:val="single" w:sz="8" w:color="auto"/>
            </w:tcBorders>
            <w:gridSpan w:val="2"/>
          </w:tcPr>
          <w:p>
            <w:pPr>
              <w:jc w:val="center"/>
              <w:ind w:right="448"/>
              <w:spacing w:after="0"/>
              <w:rPr>
                <w:sz w:val="20"/>
                <w:szCs w:val="20"/>
                <w:color w:val="auto"/>
              </w:rPr>
            </w:pPr>
            <w:r>
              <w:rPr>
                <w:rFonts w:ascii="Times New Roman" w:cs="Times New Roman" w:eastAsia="Times New Roman" w:hAnsi="Times New Roman"/>
                <w:sz w:val="18"/>
                <w:szCs w:val="18"/>
                <w:color w:val="auto"/>
                <w:w w:val="99"/>
              </w:rPr>
              <w:t>each reporting person with</w:t>
            </w: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448"/>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r>
      <w:tr>
        <w:trPr>
          <w:trHeight w:val="502"/>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right w:val="single" w:sz="8" w:color="auto"/>
            </w:tcBorders>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500" w:right="80" w:hanging="492"/>
        <w:spacing w:after="0" w:line="25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 ownership of any shares of Class A Common Stock held by any other person for purposes of Section 13(d) of the Act, or for any other purpose, and such beneficial ownership thereof is expressly disclaimed.</w:t>
      </w:r>
    </w:p>
    <w:p>
      <w:pPr>
        <w:spacing w:after="0" w:line="24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2" w:name="page3"/>
    <w:bookmarkEnd w:id="2"/>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641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6410325"/>
                    </a:xfrm>
                    <a:prstGeom prst="rect">
                      <a:avLst/>
                    </a:prstGeom>
                    <a:noFill/>
                  </pic:spPr>
                </pic:pic>
              </a:graphicData>
            </a:graphic>
          </wp:anchor>
        </w:drawing>
      </w:r>
    </w:p>
    <w:p>
      <w:pPr>
        <w:spacing w:after="0" w:line="304" w:lineRule="exact"/>
        <w:rPr>
          <w:sz w:val="20"/>
          <w:szCs w:val="20"/>
          <w:color w:val="auto"/>
        </w:rPr>
      </w:pPr>
    </w:p>
    <w:p>
      <w:pPr>
        <w:ind w:left="940" w:right="7920" w:hanging="891"/>
        <w:spacing w:after="0" w:line="431"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Comcast Wireless Investment, LLC</w:t>
      </w:r>
    </w:p>
    <w:p>
      <w:pPr>
        <w:ind w:left="940" w:hanging="891"/>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9" w:lineRule="exact"/>
        <w:rPr>
          <w:rFonts w:ascii="Times New Roman" w:cs="Times New Roman" w:eastAsia="Times New Roman" w:hAnsi="Times New Roman"/>
          <w:sz w:val="18"/>
          <w:szCs w:val="18"/>
          <w:color w:val="auto"/>
        </w:rPr>
      </w:pPr>
    </w:p>
    <w:p>
      <w:pPr>
        <w:ind w:left="1220" w:hanging="285"/>
        <w:spacing w:after="0"/>
        <w:tabs>
          <w:tab w:leader="none" w:pos="1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 w:lineRule="exact"/>
        <w:rPr>
          <w:rFonts w:ascii="Times New Roman" w:cs="Times New Roman" w:eastAsia="Times New Roman" w:hAnsi="Times New Roman"/>
          <w:sz w:val="18"/>
          <w:szCs w:val="18"/>
          <w:color w:val="auto"/>
        </w:rPr>
      </w:pPr>
    </w:p>
    <w:p>
      <w:pPr>
        <w:ind w:left="1240" w:hanging="305"/>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AF</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r>
      <w:tr>
        <w:trPr>
          <w:trHeight w:val="502"/>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o</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(7)</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448"/>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448"/>
        </w:trPr>
        <w:tc>
          <w:tcPr>
            <w:tcW w:w="33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beneficially owned by</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r>
      <w:tr>
        <w:trPr>
          <w:trHeight w:val="234"/>
        </w:trPr>
        <w:tc>
          <w:tcPr>
            <w:tcW w:w="540" w:type="dxa"/>
            <w:vAlign w:val="bottom"/>
          </w:tcPr>
          <w:p>
            <w:pPr>
              <w:spacing w:after="0"/>
              <w:rPr>
                <w:sz w:val="20"/>
                <w:szCs w:val="20"/>
                <w:color w:val="auto"/>
              </w:rPr>
            </w:pPr>
          </w:p>
        </w:tc>
        <w:tc>
          <w:tcPr>
            <w:tcW w:w="2820" w:type="dxa"/>
            <w:vAlign w:val="bottom"/>
            <w:tcBorders>
              <w:right w:val="single" w:sz="8" w:color="auto"/>
            </w:tcBorders>
            <w:gridSpan w:val="2"/>
          </w:tcPr>
          <w:p>
            <w:pPr>
              <w:jc w:val="center"/>
              <w:ind w:right="448"/>
              <w:spacing w:after="0"/>
              <w:rPr>
                <w:sz w:val="20"/>
                <w:szCs w:val="20"/>
                <w:color w:val="auto"/>
              </w:rPr>
            </w:pPr>
            <w:r>
              <w:rPr>
                <w:rFonts w:ascii="Times New Roman" w:cs="Times New Roman" w:eastAsia="Times New Roman" w:hAnsi="Times New Roman"/>
                <w:sz w:val="18"/>
                <w:szCs w:val="18"/>
                <w:color w:val="auto"/>
                <w:w w:val="99"/>
              </w:rPr>
              <w:t>each reporting person with</w:t>
            </w: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448"/>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88,504,132*</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r>
      <w:tr>
        <w:trPr>
          <w:trHeight w:val="502"/>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right w:val="single" w:sz="8" w:color="auto"/>
            </w:tcBorders>
          </w:tcPr>
          <w:p>
            <w:pPr>
              <w:spacing w:after="0"/>
              <w:rPr>
                <w:sz w:val="20"/>
                <w:szCs w:val="20"/>
                <w:color w:val="auto"/>
              </w:rPr>
            </w:pPr>
          </w:p>
        </w:tc>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34"/>
        </w:trPr>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right w:val="single" w:sz="8" w:color="auto"/>
            </w:tcBorders>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6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8"/>
        </w:trPr>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6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500" w:right="80" w:hanging="492"/>
        <w:spacing w:after="0" w:line="25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in Items 4 through 6 of this Schedule 13D. As more fully described in the responses to Items 4 through 6 of this Schedule 13D, the Reporting Persons and certain other beneficial owners of Class A Common Stock named herein may be deemed to be members of a “group” under Section 13(d) of the Act by virtue of the Equityholders’ Agreement described in this Schedule 13D. Neither the filing of this Schedule 13D nor any of its contents shall be deemed to constitute an admission by any Reporting Person that, except as expressly set forth herein, it has or shares beneficial ownership of any shares of Class A Common Stock held by any other person for purposes of Section 13(d) of the Act, or for any other purpose, and such beneficial ownership thereof is expressly disclaimed.</w:t>
      </w:r>
    </w:p>
    <w:p>
      <w:pPr>
        <w:spacing w:after="0" w:line="242"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5(a)-(b)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 w:name="page4"/>
    <w:bookmarkEnd w:id="3"/>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3 of 11</w:t>
      </w:r>
    </w:p>
    <w:p>
      <w:pPr>
        <w:spacing w:after="0" w:line="200" w:lineRule="exact"/>
        <w:rPr>
          <w:sz w:val="20"/>
          <w:szCs w:val="20"/>
          <w:color w:val="auto"/>
        </w:rPr>
      </w:pPr>
    </w:p>
    <w:p>
      <w:pPr>
        <w:spacing w:after="0" w:line="34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This Statement on Schedule 13D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is filed by Comcast Corporation, a Pennsylvania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Comcast Wireless Investment, LLC, a Delaware limited liability company (“</w:t>
      </w:r>
      <w:r>
        <w:rPr>
          <w:rFonts w:ascii="Times New Roman" w:cs="Times New Roman" w:eastAsia="Times New Roman" w:hAnsi="Times New Roman"/>
          <w:sz w:val="18"/>
          <w:szCs w:val="18"/>
          <w:b w:val="1"/>
          <w:bCs w:val="1"/>
          <w:color w:val="auto"/>
        </w:rPr>
        <w:t>Comcast LLC</w:t>
      </w:r>
      <w:r>
        <w:rPr>
          <w:rFonts w:ascii="Times New Roman" w:cs="Times New Roman" w:eastAsia="Times New Roman" w:hAnsi="Times New Roman"/>
          <w:sz w:val="18"/>
          <w:szCs w:val="18"/>
          <w:color w:val="auto"/>
        </w:rPr>
        <w:t>” and, collectively with Comcast, the “</w:t>
      </w:r>
      <w:r>
        <w:rPr>
          <w:rFonts w:ascii="Times New Roman" w:cs="Times New Roman" w:eastAsia="Times New Roman" w:hAnsi="Times New Roman"/>
          <w:sz w:val="18"/>
          <w:szCs w:val="18"/>
          <w:b w:val="1"/>
          <w:bCs w:val="1"/>
          <w:color w:val="auto"/>
        </w:rPr>
        <w:t>Comcast Entities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with respect to the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of Clearwire Corporation,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color w:val="auto"/>
        </w:rPr>
        <w:t>Clearwire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REGARDING PRIOR JOINT SCHEDULE 13D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relates to the Statement on Schedule 13D filed on December 5, 2008 (the “</w:t>
      </w:r>
      <w:r>
        <w:rPr>
          <w:rFonts w:ascii="Times New Roman" w:cs="Times New Roman" w:eastAsia="Times New Roman" w:hAnsi="Times New Roman"/>
          <w:sz w:val="18"/>
          <w:szCs w:val="18"/>
          <w:b w:val="1"/>
          <w:bCs w:val="1"/>
          <w:color w:val="auto"/>
        </w:rPr>
        <w:t>Initial Joint 13D Filing</w:t>
      </w:r>
      <w:r>
        <w:rPr>
          <w:rFonts w:ascii="Times New Roman" w:cs="Times New Roman" w:eastAsia="Times New Roman" w:hAnsi="Times New Roman"/>
          <w:sz w:val="18"/>
          <w:szCs w:val="18"/>
          <w:color w:val="auto"/>
        </w:rPr>
        <w:t>”), as amended by Amendment No.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thereto filed on February 27, 2009, Amendment No. 2 thereto filed on November 12, 2009, Amendment No. 3 thereto filed on December 22, 2009,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4 thereto filed on December 7, 2010, Amendment No. 5 thereto filed on December 14, 2010, Amendment No. 6 thereto filed on May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2011, Amendment No. 7 thereto filed on June 8, 2011, Amendment No. 8 thereto filed on December 16, 2011, Amendment No. 9 thereto filed on</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February 24, 2012, Amendment No. 10 thereto filed on March 14, 2012, Amendment No. 11 thereto filed on June 15, 2012, Amendment No. 12 thereto filed on September 14, 2012, and Amendment No. 13 thereto filed on October 3, 2012 (the Initial Joint 13D Filing, as so amended through Amendment No. 13, the “</w:t>
      </w:r>
      <w:r>
        <w:rPr>
          <w:rFonts w:ascii="Times New Roman" w:cs="Times New Roman" w:eastAsia="Times New Roman" w:hAnsi="Times New Roman"/>
          <w:sz w:val="18"/>
          <w:szCs w:val="18"/>
          <w:b w:val="1"/>
          <w:bCs w:val="1"/>
          <w:color w:val="auto"/>
        </w:rPr>
        <w:t>Prior Joint Schedule 13D</w:t>
      </w:r>
      <w:r>
        <w:rPr>
          <w:rFonts w:ascii="Times New Roman" w:cs="Times New Roman" w:eastAsia="Times New Roman" w:hAnsi="Times New Roman"/>
          <w:sz w:val="18"/>
          <w:szCs w:val="18"/>
          <w:color w:val="auto"/>
        </w:rPr>
        <w:t>”). The Prior Joint Schedule 13D was jointly filed on behalf of (i) the Reporting Persons, (ii) Sprint Nextel Corporation, a Kansas corporation (“</w:t>
      </w:r>
      <w:r>
        <w:rPr>
          <w:rFonts w:ascii="Times New Roman" w:cs="Times New Roman" w:eastAsia="Times New Roman" w:hAnsi="Times New Roman"/>
          <w:sz w:val="18"/>
          <w:szCs w:val="18"/>
          <w:b w:val="1"/>
          <w:bCs w:val="1"/>
          <w:color w:val="auto"/>
        </w:rPr>
        <w:t>Sprint</w:t>
      </w:r>
      <w:r>
        <w:rPr>
          <w:rFonts w:ascii="Times New Roman" w:cs="Times New Roman" w:eastAsia="Times New Roman" w:hAnsi="Times New Roman"/>
          <w:sz w:val="18"/>
          <w:szCs w:val="18"/>
          <w:color w:val="auto"/>
        </w:rPr>
        <w:t>”), Sprint HoldCo, LLC, a Delaware limited liability company (“</w:t>
      </w:r>
      <w:r>
        <w:rPr>
          <w:rFonts w:ascii="Times New Roman" w:cs="Times New Roman" w:eastAsia="Times New Roman" w:hAnsi="Times New Roman"/>
          <w:sz w:val="18"/>
          <w:szCs w:val="18"/>
          <w:b w:val="1"/>
          <w:bCs w:val="1"/>
          <w:color w:val="auto"/>
        </w:rPr>
        <w:t>Sprint HoldCo</w:t>
      </w:r>
      <w:r>
        <w:rPr>
          <w:rFonts w:ascii="Times New Roman" w:cs="Times New Roman" w:eastAsia="Times New Roman" w:hAnsi="Times New Roman"/>
          <w:sz w:val="18"/>
          <w:szCs w:val="18"/>
          <w:color w:val="auto"/>
        </w:rPr>
        <w:t>” and together with Sprint, the “</w:t>
      </w:r>
      <w:r>
        <w:rPr>
          <w:rFonts w:ascii="Times New Roman" w:cs="Times New Roman" w:eastAsia="Times New Roman" w:hAnsi="Times New Roman"/>
          <w:sz w:val="18"/>
          <w:szCs w:val="18"/>
          <w:b w:val="1"/>
          <w:bCs w:val="1"/>
          <w:color w:val="auto"/>
        </w:rPr>
        <w:t>Sprint Entities</w:t>
      </w:r>
      <w:r>
        <w:rPr>
          <w:rFonts w:ascii="Times New Roman" w:cs="Times New Roman" w:eastAsia="Times New Roman" w:hAnsi="Times New Roman"/>
          <w:sz w:val="18"/>
          <w:szCs w:val="18"/>
          <w:color w:val="auto"/>
        </w:rPr>
        <w:t>”), (iii)</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Bright House Networks, LLC, a Delaware limited liability company (“</w:t>
      </w:r>
      <w:r>
        <w:rPr>
          <w:rFonts w:ascii="Times New Roman" w:cs="Times New Roman" w:eastAsia="Times New Roman" w:hAnsi="Times New Roman"/>
          <w:sz w:val="18"/>
          <w:szCs w:val="18"/>
          <w:b w:val="1"/>
          <w:bCs w:val="1"/>
          <w:color w:val="auto"/>
        </w:rPr>
        <w:t>BHN</w:t>
      </w:r>
      <w:r>
        <w:rPr>
          <w:rFonts w:ascii="Times New Roman" w:cs="Times New Roman" w:eastAsia="Times New Roman" w:hAnsi="Times New Roman"/>
          <w:sz w:val="18"/>
          <w:szCs w:val="18"/>
          <w:color w:val="auto"/>
        </w:rPr>
        <w:t>”), BHN Spectrum Investments, LLC, a Delaware limited liability company (“</w:t>
      </w:r>
      <w:r>
        <w:rPr>
          <w:rFonts w:ascii="Times New Roman" w:cs="Times New Roman" w:eastAsia="Times New Roman" w:hAnsi="Times New Roman"/>
          <w:sz w:val="18"/>
          <w:szCs w:val="18"/>
          <w:b w:val="1"/>
          <w:bCs w:val="1"/>
          <w:color w:val="auto"/>
        </w:rPr>
        <w:t>BHN Spectrum</w:t>
      </w:r>
      <w:r>
        <w:rPr>
          <w:rFonts w:ascii="Times New Roman" w:cs="Times New Roman" w:eastAsia="Times New Roman" w:hAnsi="Times New Roman"/>
          <w:sz w:val="18"/>
          <w:szCs w:val="18"/>
          <w:color w:val="auto"/>
        </w:rPr>
        <w:t>”), Newhouse Broadcasting Corporation, a New York corporation (“</w:t>
      </w:r>
      <w:r>
        <w:rPr>
          <w:rFonts w:ascii="Times New Roman" w:cs="Times New Roman" w:eastAsia="Times New Roman" w:hAnsi="Times New Roman"/>
          <w:sz w:val="18"/>
          <w:szCs w:val="18"/>
          <w:b w:val="1"/>
          <w:bCs w:val="1"/>
          <w:color w:val="auto"/>
        </w:rPr>
        <w:t>NBCo</w:t>
      </w:r>
      <w:r>
        <w:rPr>
          <w:rFonts w:ascii="Times New Roman" w:cs="Times New Roman" w:eastAsia="Times New Roman" w:hAnsi="Times New Roman"/>
          <w:sz w:val="18"/>
          <w:szCs w:val="18"/>
          <w:color w:val="auto"/>
        </w:rPr>
        <w:t>”, and collectively with BHN and BHN Spectrum, the “</w:t>
      </w:r>
      <w:r>
        <w:rPr>
          <w:rFonts w:ascii="Times New Roman" w:cs="Times New Roman" w:eastAsia="Times New Roman" w:hAnsi="Times New Roman"/>
          <w:sz w:val="18"/>
          <w:szCs w:val="18"/>
          <w:b w:val="1"/>
          <w:bCs w:val="1"/>
          <w:color w:val="auto"/>
        </w:rPr>
        <w:t>BHN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(iv) Eagle River Holdings, LLC, a Washington limited liability company (“</w:t>
      </w:r>
      <w:r>
        <w:rPr>
          <w:rFonts w:ascii="Times New Roman" w:cs="Times New Roman" w:eastAsia="Times New Roman" w:hAnsi="Times New Roman"/>
          <w:sz w:val="18"/>
          <w:szCs w:val="18"/>
          <w:b w:val="1"/>
          <w:bCs w:val="1"/>
          <w:color w:val="auto"/>
        </w:rPr>
        <w:t>ERH</w:t>
      </w:r>
      <w:r>
        <w:rPr>
          <w:rFonts w:ascii="Times New Roman" w:cs="Times New Roman" w:eastAsia="Times New Roman" w:hAnsi="Times New Roman"/>
          <w:sz w:val="18"/>
          <w:szCs w:val="18"/>
          <w:color w:val="auto"/>
        </w:rPr>
        <w:t>”) and Craig O. McCaw, an individual (“</w:t>
      </w:r>
      <w:r>
        <w:rPr>
          <w:rFonts w:ascii="Times New Roman" w:cs="Times New Roman" w:eastAsia="Times New Roman" w:hAnsi="Times New Roman"/>
          <w:sz w:val="18"/>
          <w:szCs w:val="18"/>
          <w:b w:val="1"/>
          <w:bCs w:val="1"/>
          <w:color w:val="auto"/>
        </w:rPr>
        <w:t>Mr. McCaw</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ERH, the “</w:t>
      </w:r>
      <w:r>
        <w:rPr>
          <w:rFonts w:ascii="Times New Roman" w:cs="Times New Roman" w:eastAsia="Times New Roman" w:hAnsi="Times New Roman"/>
          <w:sz w:val="18"/>
          <w:szCs w:val="18"/>
          <w:b w:val="1"/>
          <w:bCs w:val="1"/>
          <w:color w:val="auto"/>
        </w:rPr>
        <w:t>ERH Entities</w:t>
      </w:r>
      <w:r>
        <w:rPr>
          <w:rFonts w:ascii="Times New Roman" w:cs="Times New Roman" w:eastAsia="Times New Roman" w:hAnsi="Times New Roman"/>
          <w:sz w:val="18"/>
          <w:szCs w:val="18"/>
          <w:color w:val="auto"/>
        </w:rPr>
        <w:t>”), and (v) certain other beneficial owners of Class A Common Stock that were previously party to the Equityholders’ Agreement described in this Schedule 13D.</w:t>
      </w:r>
    </w:p>
    <w:p>
      <w:pPr>
        <w:spacing w:after="0" w:line="2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17, 2012, the Reporting Persons elected to report their beneficial ownership of Class A Common Stock apart from the Sprint Entities, the BHN Entities and the ERH Entities. Accordingly, this Schedule 13D is filed solely by the Reporting Persons. Nonetheless, this Schedule 13D is a continuation of the Reporting Persons’ beneficial ownership reporting of Class A Common Stock set forth in the Prior Joint Schedule 13D, and as such, information from the Prior Joint Schedule 13D has been incorporated herein as if set forth in full herein. The Initial Joint 13D Filing and all amendments thereto through Amendment No. 13 are filed as Exhibits 99.1 through Exhibit 99.14 hereto, respectively, and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in the Schedule 13D and not defined herein have the meanings ascribed to such terms in the Prior Joint Schedule 13D.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class of equity securities to which the Schedule 13D relates is the Class A Common Stock. The address of the Issuer’s principal executive offices is 4400 Carillon Point, Kirkland, Washington 98033.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is included as a Reporting Person solely because of its direct interest in Comcast LLC, which is a wholly owned subsidiary of Comcast.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Comcast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 Name of Person Filing</w:t>
            </w: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Comcast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 Address of Principal Business Office</w:t>
            </w: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One Comcast Center</w:t>
            </w:r>
          </w:p>
        </w:tc>
      </w:tr>
      <w:tr>
        <w:trPr>
          <w:trHeight w:val="216"/>
        </w:trPr>
        <w:tc>
          <w:tcPr>
            <w:tcW w:w="396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Philadelphia, PA 19103-2838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 Principal Business</w:t>
            </w: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Development, management and operation of broadband cable networks, and in the</w:t>
            </w:r>
          </w:p>
        </w:tc>
      </w:tr>
      <w:tr>
        <w:trPr>
          <w:trHeight w:val="216"/>
        </w:trPr>
        <w:tc>
          <w:tcPr>
            <w:tcW w:w="396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provision of programming content.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 — (e) Criminal and Civil Proceedings</w:t>
            </w: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During the last five years, neither Comcast nor, to Comcast’s knowledge, any of the</w:t>
            </w:r>
          </w:p>
        </w:tc>
      </w:tr>
      <w:tr>
        <w:trPr>
          <w:trHeight w:val="216"/>
        </w:trPr>
        <w:tc>
          <w:tcPr>
            <w:tcW w:w="396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individuals referred to in Appendix A-1, has been convicted in a criminal proceeding</w:t>
            </w:r>
          </w:p>
        </w:tc>
      </w:tr>
      <w:tr>
        <w:trPr>
          <w:trHeight w:val="216"/>
        </w:trPr>
        <w:tc>
          <w:tcPr>
            <w:tcW w:w="396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(excluding traffic violations or similar misdemeanors) or was a party to a civil proceeding</w:t>
            </w:r>
          </w:p>
        </w:tc>
      </w:tr>
      <w:tr>
        <w:trPr>
          <w:trHeight w:val="216"/>
        </w:trPr>
        <w:tc>
          <w:tcPr>
            <w:tcW w:w="3960" w:type="dxa"/>
            <w:vAlign w:val="bottom"/>
          </w:tcPr>
          <w:p>
            <w:pPr>
              <w:spacing w:after="0"/>
              <w:rPr>
                <w:sz w:val="18"/>
                <w:szCs w:val="18"/>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 a judicial or administrative body of competent jurisdiction and as a result of such</w:t>
            </w:r>
          </w:p>
        </w:tc>
      </w:tr>
      <w:tr>
        <w:trPr>
          <w:trHeight w:val="234"/>
        </w:trPr>
        <w:tc>
          <w:tcPr>
            <w:tcW w:w="3960" w:type="dxa"/>
            <w:vAlign w:val="bottom"/>
          </w:tcPr>
          <w:p>
            <w:pPr>
              <w:spacing w:after="0"/>
              <w:rPr>
                <w:sz w:val="20"/>
                <w:szCs w:val="20"/>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proceeding was or is subject</w:t>
            </w:r>
          </w:p>
        </w:tc>
      </w:tr>
      <w:tr>
        <w:trPr>
          <w:trHeight w:val="659"/>
        </w:trPr>
        <w:tc>
          <w:tcPr>
            <w:tcW w:w="39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 w:name="page5"/>
    <w:bookmarkEnd w:id="4"/>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18538Q105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4 of 11</w:t>
      </w:r>
    </w:p>
    <w:p>
      <w:pPr>
        <w:spacing w:after="0" w:line="211" w:lineRule="exact"/>
        <w:rPr>
          <w:sz w:val="20"/>
          <w:szCs w:val="20"/>
          <w:color w:val="auto"/>
        </w:rPr>
      </w:pPr>
    </w:p>
    <w:p>
      <w:pPr>
        <w:sectPr>
          <w:pgSz w:w="11900" w:h="16838" w:orient="portrait"/>
          <w:cols w:equalWidth="0" w:num="3">
            <w:col w:w="4440" w:space="720"/>
            <w:col w:w="4640" w:space="720"/>
            <w:col w:w="900"/>
          </w:cols>
          <w:pgMar w:left="240" w:top="266" w:right="239" w:bottom="1440" w:gutter="0" w:footer="0" w:header="0"/>
        </w:sectPr>
      </w:pPr>
    </w:p>
    <w:p>
      <w:pPr>
        <w:spacing w:after="0" w:line="52" w:lineRule="exact"/>
        <w:rPr>
          <w:sz w:val="20"/>
          <w:szCs w:val="20"/>
          <w:color w:val="auto"/>
        </w:rPr>
      </w:pPr>
    </w:p>
    <w:p>
      <w:pPr>
        <w:ind w:left="4920" w:right="120"/>
        <w:spacing w:after="0" w:line="266" w:lineRule="auto"/>
        <w:rPr>
          <w:sz w:val="20"/>
          <w:szCs w:val="20"/>
          <w:color w:val="auto"/>
        </w:rPr>
      </w:pPr>
      <w:r>
        <w:rPr>
          <w:rFonts w:ascii="Times New Roman" w:cs="Times New Roman" w:eastAsia="Times New Roman" w:hAnsi="Times New Roman"/>
          <w:sz w:val="18"/>
          <w:szCs w:val="18"/>
          <w:color w:val="auto"/>
        </w:rPr>
        <w:t>to a judgment, decree or final order enjoining future violations of, or prohibiting or mandating activities subject to, federal or state securities laws, or finding violations with respect to such laws.</w:t>
      </w:r>
    </w:p>
    <w:p>
      <w:pPr>
        <w:sectPr>
          <w:pgSz w:w="11900" w:h="16838" w:orient="portrait"/>
          <w:cols w:equalWidth="0" w:num="1">
            <w:col w:w="11420"/>
          </w:cols>
          <w:pgMar w:left="240" w:top="266"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Place of Organization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00" w:lineRule="exact"/>
        <w:rPr>
          <w:sz w:val="20"/>
          <w:szCs w:val="20"/>
          <w:color w:val="auto"/>
        </w:rPr>
      </w:pPr>
    </w:p>
    <w:p>
      <w:pPr>
        <w:sectPr>
          <w:pgSz w:w="11900" w:h="16838" w:orient="portrait"/>
          <w:cols w:equalWidth="0" w:num="2">
            <w:col w:w="4200" w:space="720"/>
            <w:col w:w="6500"/>
          </w:cols>
          <w:pgMar w:left="240" w:top="266" w:right="239" w:bottom="1440" w:gutter="0" w:footer="0" w:header="0"/>
          <w:type w:val="continuous"/>
        </w:sectPr>
      </w:pPr>
    </w:p>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Comcast LLC</w:t>
      </w:r>
    </w:p>
    <w:p>
      <w:pPr>
        <w:sectPr>
          <w:pgSz w:w="11900" w:h="16838" w:orient="portrait"/>
          <w:cols w:equalWidth="0" w:num="1">
            <w:col w:w="11420"/>
          </w:cols>
          <w:pgMar w:left="240" w:top="266" w:right="23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Name of Person Filing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LLC</w:t>
      </w:r>
    </w:p>
    <w:p>
      <w:pPr>
        <w:spacing w:after="0" w:line="75" w:lineRule="exact"/>
        <w:rPr>
          <w:sz w:val="20"/>
          <w:szCs w:val="20"/>
          <w:color w:val="auto"/>
        </w:rPr>
      </w:pPr>
    </w:p>
    <w:p>
      <w:pPr>
        <w:sectPr>
          <w:pgSz w:w="11900" w:h="16838" w:orient="portrait"/>
          <w:cols w:equalWidth="0" w:num="2">
            <w:col w:w="4280" w:space="720"/>
            <w:col w:w="6420"/>
          </w:cols>
          <w:pgMar w:left="240" w:top="26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(b) Address of Principal Business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19103-2838</w:t>
      </w:r>
    </w:p>
    <w:p>
      <w:pPr>
        <w:spacing w:after="0" w:line="56" w:lineRule="exact"/>
        <w:rPr>
          <w:sz w:val="20"/>
          <w:szCs w:val="20"/>
          <w:color w:val="auto"/>
        </w:rPr>
      </w:pPr>
    </w:p>
    <w:p>
      <w:pPr>
        <w:sectPr>
          <w:pgSz w:w="11900" w:h="16838" w:orient="portrait"/>
          <w:cols w:equalWidth="0" w:num="2">
            <w:col w:w="4280" w:space="720"/>
            <w:col w:w="6420"/>
          </w:cols>
          <w:pgMar w:left="240" w:top="26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 Principal Business</w:t>
      </w:r>
    </w:p>
    <w:p>
      <w:pPr>
        <w:spacing w:after="0" w:line="20" w:lineRule="exact"/>
        <w:rPr>
          <w:sz w:val="20"/>
          <w:szCs w:val="20"/>
          <w:color w:val="auto"/>
        </w:rPr>
      </w:pPr>
      <w:r>
        <w:rPr>
          <w:sz w:val="20"/>
          <w:szCs w:val="20"/>
          <w:color w:val="auto"/>
        </w:rPr>
        <w:br w:type="column"/>
      </w:r>
    </w:p>
    <w:p>
      <w:pPr>
        <w:ind w:right="620"/>
        <w:spacing w:after="0" w:line="281" w:lineRule="auto"/>
        <w:rPr>
          <w:sz w:val="20"/>
          <w:szCs w:val="20"/>
          <w:color w:val="auto"/>
        </w:rPr>
      </w:pPr>
      <w:r>
        <w:rPr>
          <w:rFonts w:ascii="Times New Roman" w:cs="Times New Roman" w:eastAsia="Times New Roman" w:hAnsi="Times New Roman"/>
          <w:sz w:val="18"/>
          <w:szCs w:val="18"/>
          <w:color w:val="auto"/>
        </w:rPr>
        <w:t>Wholly owned subsidiary of Comcast formed for purposes of holding Comcast’s indirect interest in the Issuer.</w:t>
      </w:r>
    </w:p>
    <w:p>
      <w:pPr>
        <w:spacing w:after="0" w:line="2" w:lineRule="exact"/>
        <w:rPr>
          <w:sz w:val="20"/>
          <w:szCs w:val="20"/>
          <w:color w:val="auto"/>
        </w:rPr>
      </w:pPr>
    </w:p>
    <w:p>
      <w:pPr>
        <w:sectPr>
          <w:pgSz w:w="11900" w:h="16838" w:orient="portrait"/>
          <w:cols w:equalWidth="0" w:num="2">
            <w:col w:w="4280" w:space="720"/>
            <w:col w:w="6420"/>
          </w:cols>
          <w:pgMar w:left="240" w:top="26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(d) — (e) Criminal and Civil Proceedings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last five years, neither Comcast LLC nor, to Comcast LLC’s knowledge, any of the individuals referred to in Appendix A-2, has been convicted in a criminal proceeding (excluding traffic violations or similar misdemeanors) or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violations with respect to such laws.</w:t>
      </w:r>
    </w:p>
    <w:p>
      <w:pPr>
        <w:spacing w:after="0" w:line="27" w:lineRule="exact"/>
        <w:rPr>
          <w:sz w:val="20"/>
          <w:szCs w:val="20"/>
          <w:color w:val="auto"/>
        </w:rPr>
      </w:pPr>
    </w:p>
    <w:p>
      <w:pPr>
        <w:sectPr>
          <w:pgSz w:w="11900" w:h="16838" w:orient="portrait"/>
          <w:cols w:equalWidth="0" w:num="2">
            <w:col w:w="4280" w:space="720"/>
            <w:col w:w="6420"/>
          </w:cols>
          <w:pgMar w:left="240" w:top="26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 Place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00" w:lineRule="exact"/>
        <w:rPr>
          <w:sz w:val="20"/>
          <w:szCs w:val="20"/>
          <w:color w:val="auto"/>
        </w:rPr>
      </w:pPr>
    </w:p>
    <w:p>
      <w:pPr>
        <w:sectPr>
          <w:pgSz w:w="11900" w:h="16838" w:orient="portrait"/>
          <w:cols w:equalWidth="0" w:num="2">
            <w:col w:w="4280" w:space="720"/>
            <w:col w:w="6420"/>
          </w:cols>
          <w:pgMar w:left="240" w:top="266" w:right="2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ectPr>
          <w:pgSz w:w="11900" w:h="16838" w:orient="portrait"/>
          <w:cols w:equalWidth="0" w:num="1">
            <w:col w:w="11420"/>
          </w:cols>
          <w:pgMar w:left="240" w:top="266" w:right="2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Prior Joint Schedule 13D is incorporated herein by reference.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Item 4 of the Prior Joint Schedule 13D is incorporated herein by reference, but is amended and supplemented by adding the following information under a new heading “ERH ROFO Notice” and “BHN Exchange Notice”,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ERH ROFO Notice</w:t>
      </w:r>
    </w:p>
    <w:p>
      <w:pPr>
        <w:spacing w:after="0" w:line="2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October 17, 2012, ERH delivered a notice to Comcast and the other Equityholders pursuant to Section 3.3 of the Equityholders’ Agreement (the “</w:t>
      </w:r>
      <w:r>
        <w:rPr>
          <w:rFonts w:ascii="Times New Roman" w:cs="Times New Roman" w:eastAsia="Times New Roman" w:hAnsi="Times New Roman"/>
          <w:sz w:val="18"/>
          <w:szCs w:val="18"/>
          <w:b w:val="1"/>
          <w:bCs w:val="1"/>
          <w:color w:val="auto"/>
        </w:rPr>
        <w:t>ERH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ROFO Notice</w:t>
      </w:r>
      <w:r>
        <w:rPr>
          <w:rFonts w:ascii="Times New Roman" w:cs="Times New Roman" w:eastAsia="Times New Roman" w:hAnsi="Times New Roman"/>
          <w:sz w:val="18"/>
          <w:szCs w:val="18"/>
          <w:color w:val="auto"/>
        </w:rPr>
        <w:t>”). The ERH ROFO Notice provides notice to Comcast and the other Equityholders of ERH’s intent to transfer (i) 30,922,958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b w:val="1"/>
          <w:bCs w:val="1"/>
          <w:color w:val="auto"/>
        </w:rPr>
        <w:t>ERH Class A Common Stock</w:t>
      </w:r>
      <w:r>
        <w:rPr>
          <w:rFonts w:ascii="Times New Roman" w:cs="Times New Roman" w:eastAsia="Times New Roman" w:hAnsi="Times New Roman"/>
          <w:sz w:val="18"/>
          <w:szCs w:val="18"/>
          <w:color w:val="auto"/>
        </w:rPr>
        <w:t>”) and (ii) 2,728,512 shares of Class B Common Stock and a corresponding number of Clearwire Communications Class B Common Interests (the “</w:t>
      </w:r>
      <w:r>
        <w:rPr>
          <w:rFonts w:ascii="Times New Roman" w:cs="Times New Roman" w:eastAsia="Times New Roman" w:hAnsi="Times New Roman"/>
          <w:sz w:val="18"/>
          <w:szCs w:val="18"/>
          <w:b w:val="1"/>
          <w:bCs w:val="1"/>
          <w:color w:val="auto"/>
        </w:rPr>
        <w:t>ERH Class B Interests</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ERH Interests</w:t>
      </w:r>
      <w:r>
        <w:rPr>
          <w:rFonts w:ascii="Times New Roman" w:cs="Times New Roman" w:eastAsia="Times New Roman" w:hAnsi="Times New Roman"/>
          <w:sz w:val="18"/>
          <w:szCs w:val="18"/>
          <w:color w:val="auto"/>
        </w:rPr>
        <w:t>”) on the following material terms:</w:t>
      </w:r>
    </w:p>
    <w:p>
      <w:pPr>
        <w:spacing w:after="0" w:line="238" w:lineRule="exact"/>
        <w:rPr>
          <w:sz w:val="20"/>
          <w:szCs w:val="20"/>
          <w:color w:val="auto"/>
        </w:rPr>
      </w:pPr>
    </w:p>
    <w:p>
      <w:pPr>
        <w:ind w:left="660" w:right="2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ERH will only sell to each Equityholder an equal percentage of its ownership of the ERH Class A Common Stock and the ERH Class B Interests, rounded in each case to the nearest whole share;</w:t>
      </w:r>
    </w:p>
    <w:p>
      <w:pPr>
        <w:spacing w:after="0" w:line="215"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sales price for the bundle of each whole share of ERH Class A Common Stock and the related fractional ERH Class B Interest of $2.97164 (consisting of an assigned value, only for the purposes of the ERH ROFO Notice, of $2.00 per ERH Class A Share and $13.9835 per ERH Class B Interest); and</w:t>
      </w:r>
    </w:p>
    <w:p>
      <w:pPr>
        <w:spacing w:after="0" w:line="230"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Make Whole Payment (as defined in the ERH ROFO Notice) by any Equityholder that delivers a response notice pursuant to the ERH ROFO Notice (the “</w:t>
      </w:r>
      <w:r>
        <w:rPr>
          <w:rFonts w:ascii="Times New Roman" w:cs="Times New Roman" w:eastAsia="Times New Roman" w:hAnsi="Times New Roman"/>
          <w:sz w:val="18"/>
          <w:szCs w:val="18"/>
          <w:b w:val="1"/>
          <w:bCs w:val="1"/>
          <w:color w:val="auto"/>
        </w:rPr>
        <w:t>Exercising Non-Selling Equityholder</w:t>
      </w:r>
      <w:r>
        <w:rPr>
          <w:rFonts w:ascii="Times New Roman" w:cs="Times New Roman" w:eastAsia="Times New Roman" w:hAnsi="Times New Roman"/>
          <w:sz w:val="18"/>
          <w:szCs w:val="18"/>
          <w:color w:val="auto"/>
        </w:rPr>
        <w:t>”) and acquires ERH Interests if, at any time following October 17, 2012 but before October 17, 2015, the Exercising Non-Selling Equityholder or an Affiliate (as defined in the Equityholders’ Agreement) thereof acquires or disposes of, directly or indirectly, any Interests at a price higher than an Average Weighted Per Share Acquisition Price (as defined in the ERH ROFO Notice) of $2.97164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type w:val="continuous"/>
        </w:sectPr>
      </w:pPr>
    </w:p>
    <w:bookmarkStart w:id="5" w:name="page6"/>
    <w:bookmarkEnd w:id="5"/>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5 of 11</w:t>
      </w:r>
    </w:p>
    <w:p>
      <w:pPr>
        <w:spacing w:after="0" w:line="288"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2"/>
          <w:szCs w:val="22"/>
          <w:color w:val="auto"/>
        </w:rPr>
        <w:t>higher amount established by the most recent Qualifying Subsequent Transaction (as defined in the ERH ROFO Notice), if any, calculated by multiplying the aggregate number of Interests acquired by the Exercising Non-Selling Equityholder or its Affiliate by the excess of such higher price over (i) 2.97164 or (ii) such higher amount established by the most recent Qualifying Subsequent Transaction.</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Section 3.3(b) of the Equityholders’ Agreement, each Equityholder will have thirty (30) days from receipt of the ERH ROFO Notice to notify ERH of its election to purchase all or any portion of the ERH Interests in accordance with the terms and conditions of the ERH ROFO Notice and the Equityholders’ Agreement.</w:t>
      </w:r>
    </w:p>
    <w:p>
      <w:pPr>
        <w:spacing w:after="0" w:line="22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On October 17, 2012, Sprint HoldCo delivered a response letter (“</w:t>
      </w:r>
      <w:r>
        <w:rPr>
          <w:rFonts w:ascii="Times New Roman" w:cs="Times New Roman" w:eastAsia="Times New Roman" w:hAnsi="Times New Roman"/>
          <w:sz w:val="18"/>
          <w:szCs w:val="18"/>
          <w:b w:val="1"/>
          <w:bCs w:val="1"/>
          <w:color w:val="auto"/>
        </w:rPr>
        <w:t>Sprint Response Letter</w:t>
      </w:r>
      <w:r>
        <w:rPr>
          <w:rFonts w:ascii="Times New Roman" w:cs="Times New Roman" w:eastAsia="Times New Roman" w:hAnsi="Times New Roman"/>
          <w:sz w:val="18"/>
          <w:szCs w:val="18"/>
          <w:color w:val="auto"/>
        </w:rPr>
        <w:t>”) to the ERH ROFO Notice notifying ERH that Sprint HoldCo elects to purchase 100% of the ERH Interests at the purchase price set forth in the ERH ROFO Notice (or, in the event that one or more of the other Equityholders elects to purchase the Interests pursuant to a timely response notice, the maximum number of ERH Interests that Sprint HoldCo is entitled to purchase pursuant to Section 3.3(b) of the Equityholders’ Agreement).</w:t>
      </w:r>
    </w:p>
    <w:p>
      <w:pPr>
        <w:spacing w:after="0" w:line="2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ERH ROFO Notice and the Sprint Response Notice is a general description only and is qualified in its entirety by reference to the ERH ROFO Notice and the Sprint Response Notice, which are filed as Exhibit 99.43 and Exhibit 99.44 hereto, respectively, and incorporated herein by reference.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BHN Exchange Notice</w:t>
      </w:r>
    </w:p>
    <w:p>
      <w:pPr>
        <w:spacing w:after="0" w:line="2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Based on information provided by BHN and its representatives to the Reporting Persons, on October 11, 2012, BHN Spectrum provided Clearwire and Clearwire Communications with a written notice of its request to exchange all of the shares of Class B Common Stock of Clearwire together with all of the Class B Common Units of Clearwire Communications held by BHN Spectrum into an equal number of shares of Class A Common Stock (the “</w:t>
      </w:r>
      <w:r>
        <w:rPr>
          <w:rFonts w:ascii="Times New Roman" w:cs="Times New Roman" w:eastAsia="Times New Roman" w:hAnsi="Times New Roman"/>
          <w:sz w:val="18"/>
          <w:szCs w:val="18"/>
          <w:b w:val="1"/>
          <w:bCs w:val="1"/>
          <w:color w:val="auto"/>
        </w:rPr>
        <w:t>BHN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and the BHN Exchange was completed on October 18, 2012.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(a)-(b) As of October 22, 2012, each Reporting Person may be deemed to have beneficial ownership (within the meaning of Rule 13d-3 under the Act) and shared power to vote or direct the vote of up to the amounts listed in the table below and may be deemed to constitute a “group” under Section 13(d) of the Act.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2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(1)</w:t>
            </w:r>
          </w:p>
        </w:tc>
        <w:tc>
          <w:tcPr>
            <w:tcW w:w="3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(1)</w:t>
            </w:r>
          </w:p>
        </w:tc>
        <w:tc>
          <w:tcPr>
            <w:tcW w:w="500" w:type="dxa"/>
            <w:vAlign w:val="bottom"/>
          </w:tcPr>
          <w:p>
            <w:pPr>
              <w:spacing w:after="0"/>
              <w:rPr>
                <w:sz w:val="16"/>
                <w:szCs w:val="16"/>
                <w:color w:val="auto"/>
              </w:rPr>
            </w:pPr>
          </w:p>
        </w:tc>
        <w:tc>
          <w:tcPr>
            <w:tcW w:w="1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Voting</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(2)</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88,504,132</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Comcast LLC (3)</w:t>
            </w:r>
          </w:p>
        </w:tc>
        <w:tc>
          <w:tcPr>
            <w:tcW w:w="2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88,504,132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3" w:lineRule="exact"/>
        <w:rPr>
          <w:sz w:val="20"/>
          <w:szCs w:val="20"/>
          <w:color w:val="auto"/>
        </w:rPr>
      </w:pPr>
    </w:p>
    <w:p>
      <w:pPr>
        <w:ind w:left="500" w:hanging="492"/>
        <w:spacing w:after="0" w:line="254"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beneficially owned and the respective percentages of beneficial ownership of Class A Common Stock assumes the conversion of all shares of Class B Common Stock beneficially owned by such person or entity into Class A Common Stock, and the exercise of all options, warrants and other securities convertible into common stock beneficially owned by such person or entity currently exercisable or exercisable within 60 days of October 22, 2012. Shares issuable pursuant to the conversion of Class B Common Stock or the exercise of stock options and warrants exercisable within 60 days are deemed outstanding and held by the holder of such shares of Class B Common Stock, options or warrants for computing the percentage of outstanding common stock beneficially owned by such person, but are not deemed outstanding for computing the percentage of outstanding common stock beneficially owned by any other person. The respective percentages of beneficial ownership of Class A Common Stock and Class B Common Stock are based on 691,233,800 shares of Class A Common Stock and 773,732,672 shares of Class B Common Stock outstanding as of October 2, 2012 after giving effect to the BHN Exchange (based on 682,759,360 shares of Class A Common Stock and 782,207,122 shares of Class B Common Stock reported by the Issuer on a Form 8-K filed on October 3, 2012 as outstanding as of October 2, 2012).</w:t>
      </w:r>
    </w:p>
    <w:p>
      <w:pPr>
        <w:spacing w:after="0" w:line="240" w:lineRule="exact"/>
        <w:rPr>
          <w:rFonts w:ascii="Times New Roman" w:cs="Times New Roman" w:eastAsia="Times New Roman" w:hAnsi="Times New Roman"/>
          <w:sz w:val="18"/>
          <w:szCs w:val="18"/>
          <w:color w:val="auto"/>
        </w:rPr>
      </w:pPr>
    </w:p>
    <w:p>
      <w:pPr>
        <w:jc w:val="both"/>
        <w:ind w:left="500" w:right="240" w:hanging="492"/>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88,504,132 shares of Class A Common Stock beneficially owned by Comcast LLC. By virtue of the fact that Comcast LLC is a wholly-owned subsidiary of Comcast, Comcast may be deemed to have shared voting and dispositive power with respect to the shares of Class A Common Stock owned by Comcast LLC.</w:t>
      </w:r>
    </w:p>
    <w:p>
      <w:pPr>
        <w:spacing w:after="0" w:line="23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88,504,132 shares of Class A Common Stock beneficially owned by Comcast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6" w:name="page7"/>
    <w:bookmarkEnd w:id="6"/>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6 of 11</w:t>
      </w:r>
    </w:p>
    <w:p>
      <w:pPr>
        <w:spacing w:after="0" w:line="2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as set forth or incorporated herein or in the Appendices to the Schedule 13D, none of (i) the Reporting Persons and (ii) to the Reporting Persons’ knowledge, the persons set forth on Appendix A-1 and A-2 of the Schedule 13D, beneficially owns any shares of Class A Common Stock as of October 22, 2012.</w:t>
      </w:r>
    </w:p>
    <w:p>
      <w:pPr>
        <w:spacing w:after="0" w:line="2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beneficial ownership of the Reporting Persons described herein, by virtue of the Equityholders’ Agreement, each of the Reporting Persons, together with the Sprint Entities, the ERH Entities, the BHN Entities, Intel Capital Wireless Investment Corporation 2008A, a Delaware corporation (the “</w:t>
      </w:r>
      <w:r>
        <w:rPr>
          <w:rFonts w:ascii="Times New Roman" w:cs="Times New Roman" w:eastAsia="Times New Roman" w:hAnsi="Times New Roman"/>
          <w:sz w:val="18"/>
          <w:szCs w:val="18"/>
          <w:b w:val="1"/>
          <w:bCs w:val="1"/>
          <w:color w:val="auto"/>
        </w:rPr>
        <w:t>Intel A</w:t>
      </w:r>
      <w:r>
        <w:rPr>
          <w:rFonts w:ascii="Times New Roman" w:cs="Times New Roman" w:eastAsia="Times New Roman" w:hAnsi="Times New Roman"/>
          <w:sz w:val="18"/>
          <w:szCs w:val="18"/>
          <w:color w:val="auto"/>
        </w:rPr>
        <w:t>”), Intel Capital Corporation, a Delaware corporation (“</w:t>
      </w:r>
      <w:r>
        <w:rPr>
          <w:rFonts w:ascii="Times New Roman" w:cs="Times New Roman" w:eastAsia="Times New Roman" w:hAnsi="Times New Roman"/>
          <w:sz w:val="18"/>
          <w:szCs w:val="18"/>
          <w:b w:val="1"/>
          <w:bCs w:val="1"/>
          <w:color w:val="auto"/>
        </w:rPr>
        <w:t>Intel Capital</w:t>
      </w:r>
      <w:r>
        <w:rPr>
          <w:rFonts w:ascii="Times New Roman" w:cs="Times New Roman" w:eastAsia="Times New Roman" w:hAnsi="Times New Roman"/>
          <w:sz w:val="18"/>
          <w:szCs w:val="18"/>
          <w:color w:val="auto"/>
        </w:rPr>
        <w:t>”), and Intel Capital (Cayman) Corporation, a Cayman Islands corporation (“</w:t>
      </w:r>
      <w:r>
        <w:rPr>
          <w:rFonts w:ascii="Times New Roman" w:cs="Times New Roman" w:eastAsia="Times New Roman" w:hAnsi="Times New Roman"/>
          <w:sz w:val="18"/>
          <w:szCs w:val="18"/>
          <w:b w:val="1"/>
          <w:bCs w:val="1"/>
          <w:color w:val="auto"/>
        </w:rPr>
        <w:t>Intel Cayman</w:t>
      </w:r>
      <w:r>
        <w:rPr>
          <w:rFonts w:ascii="Times New Roman" w:cs="Times New Roman" w:eastAsia="Times New Roman" w:hAnsi="Times New Roman"/>
          <w:sz w:val="18"/>
          <w:szCs w:val="18"/>
          <w:color w:val="auto"/>
        </w:rPr>
        <w:t>” and, together with Intel A, Intel Capital and Intel Cayman, the “</w:t>
      </w:r>
      <w:r>
        <w:rPr>
          <w:rFonts w:ascii="Times New Roman" w:cs="Times New Roman" w:eastAsia="Times New Roman" w:hAnsi="Times New Roman"/>
          <w:sz w:val="18"/>
          <w:szCs w:val="18"/>
          <w:b w:val="1"/>
          <w:bCs w:val="1"/>
          <w:color w:val="auto"/>
        </w:rPr>
        <w:t>Intel Entities</w:t>
      </w:r>
      <w:r>
        <w:rPr>
          <w:rFonts w:ascii="Times New Roman" w:cs="Times New Roman" w:eastAsia="Times New Roman" w:hAnsi="Times New Roman"/>
          <w:sz w:val="18"/>
          <w:szCs w:val="18"/>
          <w:color w:val="auto"/>
        </w:rPr>
        <w:t>”), may be deemed to be a member of a “group” under Section 13(d) of the Act, which may be deemed to beneficially own, have shared power to vote or direct the vote over and have shared dispositive power over the following shares of Class A Common Stock beneficially owned by the Sprint Entities, the ERH Entities, the BHN Entities and the Intel Entities:</w:t>
      </w:r>
    </w:p>
    <w:p>
      <w:pPr>
        <w:spacing w:after="0" w:line="242" w:lineRule="exact"/>
        <w:rPr>
          <w:sz w:val="20"/>
          <w:szCs w:val="20"/>
          <w:color w:val="auto"/>
        </w:rPr>
      </w:pPr>
    </w:p>
    <w:p>
      <w:pPr>
        <w:ind w:left="660" w:right="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16 to the Statement on Schedule 13D filed by Intel Corporation on October 19, 2012 reports beneficial ownership of 94,076,878 shares of Class A Common Stock (which consists of 25,098,733 shares of Class A Common Stock held by Intel Capital, 3,333,333 shares of Class A Common Stock held by Intel Cayman and 65,644,812 shares of Class B Common Stock held by the Intel A) representing 12.4% of the Class A Common Stock;</w:t>
      </w:r>
    </w:p>
    <w:p>
      <w:pPr>
        <w:spacing w:after="0" w:line="234"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14 to the Statement on Schedule 13D filed by the Sprint Entities and the ERH Entities on October 18, 2012 reports 705,359,348 shares of Class A Common Stock beneficially owned by the Sprint Entities representing beneficial ownership of 50.8% of the Class A Common Stock, 34,026,470 shares of Class A Common Stock beneficially owned by ERH (which consists of 375,000 shares of Class A Common Stock issuable on exercise of warrants issued to ERH and 2,728,512 shares of Class B Common Stock beneficially owned by ERH) representing beneficial ownership of 5.0% of the Class A Common Stock and 34,042,970 shares of Class A Common Stock beneficially owned by Mr. McCaw (which consists of 16,500 shares of Class A Common Stock beneficially owned by Mr. McCaw, 34,026,470 shares of Class A Common Stock beneficially owned by ERH, 375,000 shares of Class A Common Stock issuable on exercise of warrants issued to ERH and 2,728,512 shares of Class B Common Stock beneficially owned by ERH) representing beneficial ownership of 5.0% of the Class A Common Stock; and</w:t>
      </w:r>
    </w:p>
    <w:p>
      <w:pPr>
        <w:spacing w:after="0" w:line="239" w:lineRule="exact"/>
        <w:rPr>
          <w:rFonts w:ascii="Times New Roman" w:cs="Times New Roman" w:eastAsia="Times New Roman" w:hAnsi="Times New Roman"/>
          <w:sz w:val="18"/>
          <w:szCs w:val="18"/>
          <w:color w:val="auto"/>
        </w:rPr>
      </w:pPr>
    </w:p>
    <w:p>
      <w:pPr>
        <w:ind w:left="660" w:right="50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13 to the Statement on Schedule 13D jointly filed by the BHN Entities, the Sprint Entities, the Comcast Entities and the ERH Entities on October 3, 2012 reports 8,474,440 shares of Class A Common Stock beneficially owned by the BHN Entities (which consists of 8,474,440 shares of Class B Common Stock beneficially owned by the BHN Entities prior to the BHN Exchange referred to in Item 4 above) representing 1.2% of the Class A Common Stock.</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described in Item 6 of this Schedule 13D, the Equityholders’ Agreement includes a voting agreement under which such Equityholders and their respective affiliates share the ability to elect a majority of the Issuer’s directors. The Reporting Persons disclaim beneficial ownership of the shares of capital stock beneficially owned by such other Equityholders (other than the shares of capital stock beneficially owned by the Reporting Persons).</w:t>
      </w:r>
    </w:p>
    <w:p>
      <w:pPr>
        <w:spacing w:after="0" w:line="230" w:lineRule="exact"/>
        <w:rPr>
          <w:sz w:val="20"/>
          <w:szCs w:val="20"/>
          <w:color w:val="auto"/>
        </w:rPr>
      </w:pPr>
    </w:p>
    <w:p>
      <w:pPr>
        <w:jc w:val="both"/>
        <w:ind w:right="20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or incorporated herein or in the Appendices to the Schedule 13D, none of (i) the Reporting Persons and (ii) to the Reporting Persons’ knowledge, the persons set forth on Appendix A-1 and A-2 of the Schedule 13D, has effected any transaction in Class A Common Stock during the 60 days prior to October 22, 2012.</w:t>
      </w:r>
    </w:p>
    <w:p>
      <w:pPr>
        <w:spacing w:after="0" w:line="2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Item 6 of the Prior Joint Schedule 13D is incorporated herein by reference, but is amended and supplemented with the information under the heading “ERH ROFO Notice” in Item 4 of the Schedule 13D, which is hereby incorporated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1"/>
                <w:szCs w:val="21"/>
                <w:color w:val="auto"/>
              </w:rPr>
            </w:pPr>
          </w:p>
        </w:tc>
        <w:tc>
          <w:tcPr>
            <w:tcW w:w="1004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7"/>
                <w:szCs w:val="17"/>
                <w:color w:val="auto"/>
              </w:rPr>
            </w:pPr>
          </w:p>
        </w:tc>
        <w:tc>
          <w:tcPr>
            <w:tcW w:w="10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Statement on Schedule 13D (the “</w:t>
            </w:r>
            <w:r>
              <w:rPr>
                <w:rFonts w:ascii="Times New Roman" w:cs="Times New Roman" w:eastAsia="Times New Roman" w:hAnsi="Times New Roman"/>
                <w:sz w:val="18"/>
                <w:szCs w:val="18"/>
                <w:b w:val="1"/>
                <w:bCs w:val="1"/>
                <w:color w:val="auto"/>
              </w:rPr>
              <w:t>Initial Joint 13D Filing</w:t>
            </w:r>
            <w:r>
              <w:rPr>
                <w:rFonts w:ascii="Times New Roman" w:cs="Times New Roman" w:eastAsia="Times New Roman" w:hAnsi="Times New Roman"/>
                <w:sz w:val="18"/>
                <w:szCs w:val="18"/>
                <w:color w:val="auto"/>
              </w:rPr>
              <w:t>”) filed on December 5, 2008 by Sprint Nextel Corporation, Sprint HoldCo,</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LLC, Comcast Corporation, Comcast Wireless Investment I, Inc., Comcast Wireless Investment II, Inc., Comcast Wireless Investment III,</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Inc., Comcast Wireless Investment IV, Inc., Comcast Wireless Investment V, Inc., Time Warner Cable Inc., Time Warner Cable LLC, TWC</w:t>
            </w:r>
          </w:p>
        </w:tc>
      </w:tr>
      <w:tr>
        <w:trPr>
          <w:trHeight w:val="234"/>
        </w:trPr>
        <w:tc>
          <w:tcPr>
            <w:tcW w:w="1040" w:type="dxa"/>
            <w:vAlign w:val="bottom"/>
          </w:tcPr>
          <w:p>
            <w:pPr>
              <w:spacing w:after="0"/>
              <w:rPr>
                <w:sz w:val="20"/>
                <w:szCs w:val="20"/>
                <w:color w:val="auto"/>
              </w:rPr>
            </w:pPr>
          </w:p>
        </w:tc>
        <w:tc>
          <w:tcPr>
            <w:tcW w:w="10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Wireless Holdings I LLC, TWC</w:t>
            </w:r>
          </w:p>
        </w:tc>
      </w:tr>
      <w:tr>
        <w:trPr>
          <w:trHeight w:val="875"/>
        </w:trPr>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18538Q105</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13D</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Page 7 of 11</w:t>
            </w:r>
          </w:p>
        </w:tc>
      </w:tr>
      <w:tr>
        <w:trPr>
          <w:trHeight w:val="466"/>
        </w:trPr>
        <w:tc>
          <w:tcPr>
            <w:tcW w:w="10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Wireless Holdings II LLC, TWC Wireless Holdings III LLC, Bright House Networks, LLC, BHN Spectrum Investments, LLC, Newhouse</w:t>
            </w:r>
          </w:p>
        </w:tc>
        <w:tc>
          <w:tcPr>
            <w:tcW w:w="20" w:type="dxa"/>
            <w:vAlign w:val="bottom"/>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9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Broadcasting Corporation, Google Inc., Eagle River Holdings, LLC, Craig O. McCaw and CWCI, LLC</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1 to the Statement on Schedule 13D filed on February 27, 2009 by Sprint Nextel Corporation, Sprint HoldCo, LLC,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Time Warner Cable Inc., Time Warner Cable LLC, TWC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Google Inc. Eagle River Holdings, LLC, Craig O. McCaw and CWCI,</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LLC</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2 to the Statement on Schedule 13D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filed on November 12, 2009 by Sprint Nextel Corporation,</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Time Warner Cable Inc., Time Warner</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Cable LLC, TWC Wireless Holdings I LLC, TWC Wireless Holdings II LLC, TWC Wireless Holdings III LLC, Bright House Networks,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LLC, BHN Spectrum Investments, LLC, Newhouse Broadcasting Corporation, Google Inc., Eagle River Holdings, LLC, Craig O. McCaw</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CWCI, LLC</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3 to the Statement on Schedule 13D filed on December 22, 2009 by Sprint Nextel Corporation, Sprint HoldCo, LLC,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House Networks, LLC, BHN Spectrum Investments, LLC, Newhouse Broadcasting Corporation, Google Inc., Eagle River Holdings, LLC,</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Craig O. McCaw and CWCI, LLC</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4 to the Statement on Schedule 13D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filed on December 7, 2010 by Sprint Nextel Corporation,</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5 to the Statement on Schedule 13D filed on December 14, 2010 by Sprint Nextel Corporation, Sprint HoldCo, LLC,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House Networks, LLC, BHN Spectrum Investments, LLC, Newhouse Broadcasting Corporation, Google Inc., Eagle River Holdings, LLC</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Craig O. McCaw</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6 to the Statement on Schedule 13D filed on May 13, 2011 by Sprint Nextel Corporation, Sprint HoldCo, LLC, Comcast</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Corporation, Comcast Wireless Investment I, Inc., Comcast Wireless Investment II, Inc., Comcast Wireless Investment III, Inc., Comcast</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Wireless Investment IV, Inc., Comcast Wireless Investment V, Inc., Comcast Wireless Investment VI, Inc., Time Warner Cable Inc., Time</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Warner Cable LLC, TWC Wireless Holdings I LLC, TWC Wireless Holdings II LLC, TWC Wireless Holdings III LLC, Bright House</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Networks, LLC, BHN Spectrum Investments, LLC, Newhouse Broadcasting Corporation, Google Inc., Eagle River Holdings, LLC and</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Craig O. McCaw</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Amendment No. 7 to the Statement on Schedule 13D (“</w:t>
            </w:r>
            <w:r>
              <w:rPr>
                <w:rFonts w:ascii="Times New Roman" w:cs="Times New Roman" w:eastAsia="Times New Roman" w:hAnsi="Times New Roman"/>
                <w:sz w:val="18"/>
                <w:szCs w:val="18"/>
                <w:b w:val="1"/>
                <w:bCs w:val="1"/>
                <w:color w:val="auto"/>
              </w:rPr>
              <w:t>Amendment No. 7</w:t>
            </w:r>
            <w:r>
              <w:rPr>
                <w:rFonts w:ascii="Times New Roman" w:cs="Times New Roman" w:eastAsia="Times New Roman" w:hAnsi="Times New Roman"/>
                <w:sz w:val="18"/>
                <w:szCs w:val="18"/>
                <w:color w:val="auto"/>
              </w:rPr>
              <w:t>”) filed on June 8, 2011 by Sprint Nextel Corporation, Sprint</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HoldCo, LLC, Comcast Corporation, Comcast Wireless Investment I, Inc., Comcast Wireless Investment II, Inc., Comcast Wireless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1040" w:type="dxa"/>
            <w:vAlign w:val="bottom"/>
          </w:tcPr>
          <w:p>
            <w:pPr>
              <w:spacing w:after="0"/>
              <w:rPr>
                <w:sz w:val="18"/>
                <w:szCs w:val="18"/>
                <w:color w:val="auto"/>
              </w:rPr>
            </w:pPr>
          </w:p>
        </w:tc>
        <w:tc>
          <w:tcPr>
            <w:tcW w:w="104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1040" w:type="dxa"/>
            <w:vAlign w:val="bottom"/>
          </w:tcPr>
          <w:p>
            <w:pPr>
              <w:spacing w:after="0"/>
              <w:rPr>
                <w:sz w:val="20"/>
                <w:szCs w:val="20"/>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c>
          <w:tcPr>
            <w:tcW w:w="5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9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Amendment No. 8 to the Statement on Schedule 13D (“</w:t>
            </w:r>
            <w:r>
              <w:rPr>
                <w:rFonts w:ascii="Times New Roman" w:cs="Times New Roman" w:eastAsia="Times New Roman" w:hAnsi="Times New Roman"/>
                <w:sz w:val="18"/>
                <w:szCs w:val="18"/>
                <w:b w:val="1"/>
                <w:bCs w:val="1"/>
                <w:color w:val="auto"/>
              </w:rPr>
              <w:t>Amendment No. 8</w:t>
            </w:r>
            <w:r>
              <w:rPr>
                <w:rFonts w:ascii="Times New Roman" w:cs="Times New Roman" w:eastAsia="Times New Roman" w:hAnsi="Times New Roman"/>
                <w:sz w:val="18"/>
                <w:szCs w:val="18"/>
                <w:color w:val="auto"/>
              </w:rPr>
              <w:t>”) filed on December 16, 2011 by Sprint</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9"/>
        </w:trPr>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8 of 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Nextel Corporation, Sprint HoldCo, LLC, Comcast Corporation, Comcast Wireless Investment I, Inc., Comcast Wireless Investment 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Inc., Comcast Wireless Investment III, Inc., Comcast Wireless Investment IV, Inc., Comcast Wireless Investment V,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VI, Inc., Time Warner Cable Inc., Time Warner Cable LLC, TWC Wireless Holdings I LLC, TWC Wireless Holdings II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TWC Wireless Holdings III LLC, Bright House Networks, LLC, BHN Spectrum Investments, LLC, Newhouse Broadcasting Corporation,</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Google Inc., Eagle River Holdings, LLC and Craig O. McCaw</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99.10</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9 to the Statement on Schedule 13D (“</w:t>
            </w:r>
            <w:r>
              <w:rPr>
                <w:rFonts w:ascii="Times New Roman" w:cs="Times New Roman" w:eastAsia="Times New Roman" w:hAnsi="Times New Roman"/>
                <w:sz w:val="18"/>
                <w:szCs w:val="18"/>
                <w:b w:val="1"/>
                <w:bCs w:val="1"/>
                <w:color w:val="auto"/>
              </w:rPr>
              <w:t>Amendment No. 9</w:t>
            </w:r>
            <w:r>
              <w:rPr>
                <w:rFonts w:ascii="Times New Roman" w:cs="Times New Roman" w:eastAsia="Times New Roman" w:hAnsi="Times New Roman"/>
                <w:sz w:val="18"/>
                <w:szCs w:val="18"/>
                <w:color w:val="auto"/>
              </w:rPr>
              <w:t>”)filed on February 24,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r>
      <w:tr>
        <w:trPr>
          <w:trHeight w:val="41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99.11</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10 to the Statement on Schedule 13D filed on March 14, 2012 by Sprint Nextel Corporation, Sprint HoldCo,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House Networks, LLC, BHN Spectrum Investments, LLC, Newhouse Broadcasting Corporation, Google Inc., Eagle River Holdings, LLC</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Craig O. McCaw</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99.12</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Amendment No. 11 to the Statement on Schedule 13D (“</w:t>
            </w:r>
            <w:r>
              <w:rPr>
                <w:rFonts w:ascii="Times New Roman" w:cs="Times New Roman" w:eastAsia="Times New Roman" w:hAnsi="Times New Roman"/>
                <w:sz w:val="18"/>
                <w:szCs w:val="18"/>
                <w:b w:val="1"/>
                <w:bCs w:val="1"/>
                <w:color w:val="auto"/>
                <w:w w:val="99"/>
              </w:rPr>
              <w:t>Amendment No. 11</w:t>
            </w:r>
            <w:r>
              <w:rPr>
                <w:rFonts w:ascii="Times New Roman" w:cs="Times New Roman" w:eastAsia="Times New Roman" w:hAnsi="Times New Roman"/>
                <w:sz w:val="18"/>
                <w:szCs w:val="18"/>
                <w:color w:val="auto"/>
                <w:w w:val="99"/>
              </w:rPr>
              <w:t>”) filed on June 15, 2012 by Sprint Nextel Corporation, Sprint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Eagle River</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LLC and Craig O. McCaw</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99.13</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12 to the Statement on Schedule 13D (“</w:t>
            </w:r>
            <w:r>
              <w:rPr>
                <w:rFonts w:ascii="Times New Roman" w:cs="Times New Roman" w:eastAsia="Times New Roman" w:hAnsi="Times New Roman"/>
                <w:sz w:val="18"/>
                <w:szCs w:val="18"/>
                <w:b w:val="1"/>
                <w:bCs w:val="1"/>
                <w:color w:val="auto"/>
              </w:rPr>
              <w:t>Amendment No. 12</w:t>
            </w:r>
            <w:r>
              <w:rPr>
                <w:rFonts w:ascii="Times New Roman" w:cs="Times New Roman" w:eastAsia="Times New Roman" w:hAnsi="Times New Roman"/>
                <w:sz w:val="18"/>
                <w:szCs w:val="18"/>
                <w:color w:val="auto"/>
              </w:rPr>
              <w:t>”) filed on September 14,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Sprint HoldCo, LLC, Comcast Corporation, Comcast Wireless Investment, LLC, Time Warner Cable Inc., Time Warner Cable LLC, TWC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Eagle River Holdings, LLC and Craig O. McCaw</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99.14</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13 to the Statement on Schedule 13D (“</w:t>
            </w:r>
            <w:r>
              <w:rPr>
                <w:rFonts w:ascii="Times New Roman" w:cs="Times New Roman" w:eastAsia="Times New Roman" w:hAnsi="Times New Roman"/>
                <w:sz w:val="18"/>
                <w:szCs w:val="18"/>
                <w:b w:val="1"/>
                <w:bCs w:val="1"/>
                <w:color w:val="auto"/>
              </w:rPr>
              <w:t>Amendment No. 13</w:t>
            </w:r>
            <w:r>
              <w:rPr>
                <w:rFonts w:ascii="Times New Roman" w:cs="Times New Roman" w:eastAsia="Times New Roman" w:hAnsi="Times New Roman"/>
                <w:sz w:val="18"/>
                <w:szCs w:val="18"/>
                <w:color w:val="auto"/>
              </w:rPr>
              <w:t>”) filed on October 3,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Sprint HoldCo, LLC, Comcast Corporation, Comcast Wireless Investment, LLC, Time Warner Cable Inc., Time Warner Cable LLC, TWC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Eagle River Holdings, LLC and Craig O. McCaw</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99.15</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Agreement and Plan of Merger, dated as of May 7, 2008, by and among Sprint Nextel Corporation, Clearwire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Comcast Corporation, Time Warner Cable Inc., Bright House Networks, LLC, Google Inc., and Intel Corporation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2.1 of Clearwire Corporation’s Current Report on Form 8−K filed May 7,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99.16</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 to the Transaction Agreement and Plan of Merger, dated as of November 21, 2008, by and among Sprint Nextel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Clearwire Corporation, Comcast Corporation, Time Warner Cable Inc., Bright House Networks, LLC, Google Inc., and Intel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(incorporated herein by reference to Exhibit 2.1 of Clearwire Corporation’s Current Report on Form 8-K filed December 1,</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99.17</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Equityholders’ Agreement, dated as of November 28, 2008, by and among Clearwire Corporation, Sprint HoldCo, LLC, Eagle River</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LLC, Intel Capital Wireless Investment Corporation 2008A, Intel Capital Wireless Investment Corporation 2008B, Intel Capital</w:t>
            </w:r>
          </w:p>
        </w:tc>
      </w:tr>
    </w:tbl>
    <w:p>
      <w:pPr>
        <w:ind w:left="1380" w:right="180"/>
        <w:spacing w:after="0" w:line="254" w:lineRule="auto"/>
        <w:rPr>
          <w:sz w:val="20"/>
          <w:szCs w:val="20"/>
          <w:color w:val="auto"/>
        </w:rPr>
      </w:pPr>
      <w:r>
        <w:rPr>
          <w:rFonts w:ascii="Times New Roman" w:cs="Times New Roman" w:eastAsia="Times New Roman" w:hAnsi="Times New Roman"/>
          <w:sz w:val="18"/>
          <w:szCs w:val="18"/>
          <w:color w:val="auto"/>
        </w:rPr>
        <w:t>Wireless Investment Corporation 2008C, Intel Capital Corporation, Intel Capital (Cayman) Corporation, Middlefield Ventures, Inc., Comcast Wireless Investment I, Inc., Comcast Wireless Investment II, Inc., Comcast Wireless Investment III, Inc., Comcast Wireless Investment IV, Inc., Comcast Wireless Investment V, Inc., Google Inc., TWC Wireless Holdings I LLC, TWC Wireless Holdings II LLC, TWC Wireless Holdings III LLC, BHN Spectrum Investments, LLC and, for the limited purpose of Sections 2.13,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 w:name="page10"/>
    <w:bookmarkEnd w:id="9"/>
    <w:p>
      <w:pPr>
        <w:spacing w:after="0"/>
        <w:tabs>
          <w:tab w:leader="none" w:pos="5140" w:val="left"/>
          <w:tab w:leader="none" w:pos="10500" w:val="left"/>
        </w:tabs>
        <w:rPr>
          <w:sz w:val="20"/>
          <w:szCs w:val="20"/>
          <w:color w:val="auto"/>
        </w:rPr>
      </w:pPr>
      <w:r>
        <w:rPr>
          <w:rFonts w:ascii="Times New Roman" w:cs="Times New Roman" w:eastAsia="Times New Roman" w:hAnsi="Times New Roman"/>
          <w:sz w:val="18"/>
          <w:szCs w:val="18"/>
          <w:color w:val="auto"/>
        </w:rPr>
        <w:t>CUSIP No. 18538Q105</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9 of 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2.15 and Article 4, Sprint Nextel Corporation (incorporated herein by reference to Exhibit 4.1 of Clearwire Corporation’s Current Report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99.18</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Strategic Investor Agreement, dated as of November 28, 2008, by and among Comcast Wireless Investment 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II, Inc., Comcast Wireless Investment III, Inc., Comcast Wireless Investment IV, Inc., Comcast Wireless Investment V,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TWC Wireless Holdings I LLC, TWC Wireless Holdings II LLC, TWC Wireless Holdings III LLC, BHN Spectrum Investments,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Google Inc., Comcast Corporation, Time Warner Cable Inc. and Bright House Networks, LLC (incorporated herein by reference to Exhibit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99.7 to the Initial Joint 13D Filing)</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99.19</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Rights Agreement, dated as of November 28, 2008, among Clearwire Corporation, Sprint Nextel Corporation, Eagle River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LLC, Intel Corporation, Comcast Corporation, Google Inc., Time Warner Cable Inc. and BHN Spectrum Investments LLC</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4.2 of Clearwire Corporation’s Current Report 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99.20</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Operating Agreement of Clearwire Communications LLC, dated as of November 28, 2008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10.1 of Clearwire Corporation’s Current Report 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99.21</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Joint Filing Agreement, dated as of November 28, 2008, among the reporting persons to the Initial Joint 13D Filing and, solely for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purposes of Sections 7, 8, 9 and 10, the Intel Entities, Intel Capital, Intel Cayman and Middlefield Ventures, Inc.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99.7 to the Initial Joint 13D Filing)</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99.22</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Agreement, dated as of November 9, 2009, by and among Sprint Nextel Corporation, Clearwire Corporation, Clearwire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Communications LLC, Comcast Corporation, Time Warner Cable Inc., Bright House Networks, LLC, Eagle River Holdings, LLC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 Corporation (incorporated herein by reference to Exhibit 99.1 of Sprint Nextel Corporation’s Current Report on Form 8-K filed</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November 10, 2009)</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99.23</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Non-Unanimous Written Consent to Action in Lieu of Special Meeting of the Stockholders of Clearwire Corporation,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November 9, 2009, executed by Sprint HoldCo, LLC, Eagle River Holdings, LLC, Intel Capital Wireless Investment Corporation 2008A,</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 Capital Wireless Investment Corporation 2008B, Intel Capital Wireless Investment Corporation 2008C, Intel Capital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 Capital (Cayman) Corporation, Middlefield Ventures, Inc., Comcast Wireless Investment I, Inc., Comcast Wireless Investment 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 Comcast Wireless Investment III, Inc., Comcast Wireless Investment IV, Inc., Comcast Wireless Investment V, Inc., Google Inc.,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TWC Wireless Holdings I LLC, TWC Wireless Holdings II LLC, TWC Wireless Holdings III LLC and BHN Spectrum Investments, LLC</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99.9 to Amendment No. 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99.24</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Unanimous Consent and Waiver, dated as of November 9, 2009, by and among Clearwire Corporation, Clearwire Communications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Sprint HoldCo, LLC, Eagle River Holdings, LLC, Intel Capital Wireless Investment Corporation 2008A, Intel Capital Wireless Investment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2008B, Intel Capital Wireless Investment Corporation 2008C, Intel Capital Corporation, Intel Capital (Cayman)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Middlefield Ventures, Inc., Comcast Wireless Investment I, Inc., Comcast Wireless Investment II, Inc., Comcast Wireless Investment III,</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 Comcast Wireless Investment IV, Inc., Comcast Wireless Investment V, Inc., Comcast Corporation, Google Inc.,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I LLC, TWC Wireless Holdings II LLC, TWC Wireless Holdings III LLC, BHN Spectrum Investments, LLC and Comcast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as Strategic Investor Representative (incorporated herein by reference to Exhibit 99.10 to Amendment No. 2</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99.25</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Lock-up Agreement (incorporated herein by reference to Exhibit 99.11 to Amendment No. 4)</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99.26</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Preemptive Rights Waiver (incorporated herein by reference to Exhibit 99.12 to Amendment No. 4)</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99.27</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to Equityholders’ Agreement, dated as of December 8, 2010, by and among Clearwire Corporation, Sprint HoldCo,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Eagle River Holdings, LLC, Intel Capital Wireless Investment Corporation 2008A, Intel Capital Wireless Investment Corporation 2008B,</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 Capital Wireless Investment Corporation 2008C, Intel Capital Corporation, Intel Capital (Cayman) Corporation, Middlefield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Ventures, Inc. and Comcast Corporation, as Strategic Investor Representative (incorporated herein by reference to Exhibit 4.11 of</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Clearwire Corporation’s Current Report on Form 8-K filed December 13, 2010)</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99.28</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June 1, 2011, pursuant to Section 2.13(j) of the Equityholders’</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(incorporated herein by reference to Exhibit 99.14 to Amendment No. 7)</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18538Q105</w:t>
            </w:r>
          </w:p>
        </w:tc>
        <w:tc>
          <w:tcPr>
            <w:tcW w:w="51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13D</w:t>
            </w:r>
          </w:p>
        </w:tc>
        <w:tc>
          <w:tcPr>
            <w:tcW w:w="16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10 of 11</w:t>
            </w:r>
          </w:p>
        </w:tc>
      </w:tr>
      <w:tr>
        <w:trPr>
          <w:trHeight w:val="44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99.29</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Commitment Agreement, dated as of November 30, 2011, by and among Clearwire Corporation, Clearwire Communications LLC, Sprint</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HoldCo, LLC and Sprint Nextel Corporation (including the form of Note attached as Exhibit B thereto) (incorporated herein by reference</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 Exhibit 10.1 of Clearwire Corporation’s Current Report on Form 8-K filed December 5, 2011)</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99.30</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Agreement, dated as of November 30, 2011, by and among Clearwire Corporation, Clearwire Communications, LLC, Sprint</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HoldCo, LLC and Sprint Nextel Corporation (incorporated herein by reference to Exhibit 10.2 of Clearwire Corporation’s Current Report</w:t>
            </w:r>
          </w:p>
        </w:tc>
      </w:tr>
      <w:tr>
        <w:trPr>
          <w:trHeight w:val="234"/>
        </w:trPr>
        <w:tc>
          <w:tcPr>
            <w:tcW w:w="900" w:type="dxa"/>
            <w:vAlign w:val="bottom"/>
          </w:tcPr>
          <w:p>
            <w:pPr>
              <w:spacing w:after="0"/>
              <w:rPr>
                <w:sz w:val="20"/>
                <w:szCs w:val="20"/>
                <w:color w:val="auto"/>
              </w:rPr>
            </w:pPr>
          </w:p>
        </w:tc>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 Form 8-K filed December 5, 2011)</w:t>
            </w: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99.31</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December 12, 2011, regarding Notice of Exercise of</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Preemptive Rights (incorporated herein by reference to Exhibit 99.17 to Amendment No. 8)</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99.32</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Investment Agreement, dated as of December 13, 2011, by and among Clearwire Corporation, Clearwire Communications LLC and Sprint</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HoldCo, LLC (incorporated herein by reference to Exhibit 99.18 to Amendment No. 8)</w:t>
            </w:r>
          </w:p>
        </w:tc>
        <w:tc>
          <w:tcPr>
            <w:tcW w:w="162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99.33</w:t>
            </w: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Form of 2011 Lock-Up Agreement (incorporated herein by reference to Exhibit 99.19 to Amendment No. 8)</w:t>
            </w:r>
          </w:p>
        </w:tc>
        <w:tc>
          <w:tcPr>
            <w:tcW w:w="162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99.34</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Non-Unanimous Written Consent to Action in Lieu of Special Meeting of the Stockholders of Clearwire Corporation, dated as of</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December 7, 2011, executed by Sprint HoldCo, LLC, Comcast Corporation, as Strategic Investor Representative, Intel Capital Wireless</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Investment Corporation 2008A, Intel Capital Wireless Investment Corporation 2008B, Intel Capital Wireless Investment Corporation</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2008C, Intel Capital Corporation, Intel Capital (Cayman) Corporation and Middlefield Ventures, Inc. (incorporated herein by reference to</w:t>
            </w:r>
          </w:p>
        </w:tc>
      </w:tr>
      <w:tr>
        <w:trPr>
          <w:trHeight w:val="234"/>
        </w:trPr>
        <w:tc>
          <w:tcPr>
            <w:tcW w:w="900" w:type="dxa"/>
            <w:vAlign w:val="bottom"/>
          </w:tcPr>
          <w:p>
            <w:pPr>
              <w:spacing w:after="0"/>
              <w:rPr>
                <w:sz w:val="20"/>
                <w:szCs w:val="20"/>
                <w:color w:val="auto"/>
              </w:rPr>
            </w:pPr>
          </w:p>
        </w:tc>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99.20 to Amendment No. 8)</w:t>
            </w: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99.35</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the Comcast Corporation, Time Warner Cable Inc., Bright House Networks, LLC, Advance/Newhouse Partnership and Intel</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Corporation from Google Inc., dated as of February 7, 2012, pursuant to Section 5(a) of the Strategic Investor Agreement, dated as of</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November 28, 2008, by and among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TWC Wireless Holdings I LLC, TWC</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Wireless Holdings II LLC, TWC Wireless Holdings III LLC, BHN Spectrum Investments, LLC, Google Inc., Comcast Corporation, Time</w:t>
            </w:r>
          </w:p>
        </w:tc>
      </w:tr>
      <w:tr>
        <w:trPr>
          <w:trHeight w:val="234"/>
        </w:trPr>
        <w:tc>
          <w:tcPr>
            <w:tcW w:w="900" w:type="dxa"/>
            <w:vAlign w:val="bottom"/>
          </w:tcPr>
          <w:p>
            <w:pPr>
              <w:spacing w:after="0"/>
              <w:rPr>
                <w:sz w:val="20"/>
                <w:szCs w:val="20"/>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Warner Cable Inc. and Bright House Networks, LLC (incorporated herein by reference to Exhibit 99.21 to Amendment No. 9)</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99.36</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Sprint Nextel Corporation, Eagle River Holdings, LLC, Comcast Corporation, Time Warner Cable Inc., Bright House Networks,</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LLC, Advance/Newhouse Partnership and Intel Corporation from Google Inc., dated as of February 16, 2012, pursuant to Section 3.3 of</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Equityholders’ Agreement (incorporated herein by reference to Exhibit 99.22 to Amendment No. 9)</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99.37</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June 8, 2012, pursuant to Section 2.13(j) of the Equityholders’</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Agreement (incorporated herein by reference to Exhibit 99.23 to Amendment No. 11)</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99.38</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Comcast Corporation and Bright House Networks, LLC from TWC Wireless Holdings I LLC, TWC Wireless Holdings II LLC</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and TWC Wireless Holdings III LLC, dated as of August 29 , 2012, pursuant to Section 5(a) of the Strategic Investor Agreement</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99.24 to Amendment No. 12)</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99.39</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Request Notice to Clearwire from TWC Wireless Holdings I LLC, TWC Wireless Holdings II LLC and TWC Wireless Holdings III LLC,</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dated as of August 29 , 2012, pursuant to Section 3(c)(ii) and (d) of the Registration Rights Agreement (incorporated herein by reference to</w:t>
            </w:r>
          </w:p>
        </w:tc>
      </w:tr>
      <w:tr>
        <w:trPr>
          <w:trHeight w:val="234"/>
        </w:trPr>
        <w:tc>
          <w:tcPr>
            <w:tcW w:w="900" w:type="dxa"/>
            <w:vAlign w:val="bottom"/>
          </w:tcPr>
          <w:p>
            <w:pPr>
              <w:spacing w:after="0"/>
              <w:rPr>
                <w:sz w:val="20"/>
                <w:szCs w:val="20"/>
                <w:color w:val="auto"/>
              </w:rPr>
            </w:pPr>
          </w:p>
        </w:tc>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99.25 to Amendment No. 12)</w:t>
            </w: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99.40</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Exchange Notice to Clearwire Communications LLC and Clearwire Corporation, dated as of September 4, 2012, pursuant to Section 7.9(c)</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 the Operating Agreement (incorporated herein by reference to Exhibit 99.26 to Amendment No. 12)</w:t>
            </w: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99.41</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Letter to Sprint Nextel Corporation, Eagle River Holdings, LLC, Comcast Corporation, Bright House Networks, LLC and Intel</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Corporation from TWC Wireless Holdings I LLC, TWC Wireless Holdings II LLC and TWC Wireless Holdings III LLC, dated as of</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September 7, 2012, pursuant to Section 3.3 of the Equityholders’ Agreement (incorporated herein by reference to Exhibit 99.27 to</w:t>
            </w:r>
          </w:p>
        </w:tc>
      </w:tr>
      <w:tr>
        <w:trPr>
          <w:trHeight w:val="234"/>
        </w:trPr>
        <w:tc>
          <w:tcPr>
            <w:tcW w:w="900" w:type="dxa"/>
            <w:vAlign w:val="bottom"/>
          </w:tcPr>
          <w:p>
            <w:pPr>
              <w:spacing w:after="0"/>
              <w:rPr>
                <w:sz w:val="20"/>
                <w:szCs w:val="20"/>
                <w:color w:val="auto"/>
              </w:rPr>
            </w:pPr>
          </w:p>
        </w:tc>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12)</w:t>
            </w: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99.42</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Exchange Notice to Clearwire Communications LLC and Clearwire Corporation from Comcast Wireless Investment, LLC, dated as of</w:t>
            </w:r>
          </w:p>
        </w:tc>
      </w:tr>
      <w:tr>
        <w:trPr>
          <w:trHeight w:val="234"/>
        </w:trPr>
        <w:tc>
          <w:tcPr>
            <w:tcW w:w="900" w:type="dxa"/>
            <w:vAlign w:val="bottom"/>
          </w:tcPr>
          <w:p>
            <w:pPr>
              <w:spacing w:after="0"/>
              <w:rPr>
                <w:sz w:val="20"/>
                <w:szCs w:val="20"/>
                <w:color w:val="auto"/>
              </w:rPr>
            </w:pPr>
          </w:p>
        </w:tc>
        <w:tc>
          <w:tcPr>
            <w:tcW w:w="8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September 18, 2012, pursuant to Section 7.9(c) of the Operating Agreement</w:t>
            </w:r>
          </w:p>
        </w:tc>
        <w:tc>
          <w:tcPr>
            <w:tcW w:w="1620" w:type="dxa"/>
            <w:vAlign w:val="bottom"/>
          </w:tcPr>
          <w:p>
            <w:pPr>
              <w:spacing w:after="0"/>
              <w:rPr>
                <w:sz w:val="20"/>
                <w:szCs w:val="20"/>
                <w:color w:val="auto"/>
              </w:rPr>
            </w:pPr>
          </w:p>
        </w:tc>
      </w:tr>
      <w:tr>
        <w:trPr>
          <w:trHeight w:val="659"/>
        </w:trPr>
        <w:tc>
          <w:tcPr>
            <w:tcW w:w="90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18538Q105</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13D</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Page 11 of 11</w:t>
            </w:r>
          </w:p>
        </w:tc>
      </w:tr>
      <w:tr>
        <w:trPr>
          <w:trHeight w:val="459"/>
        </w:trPr>
        <w:tc>
          <w:tcPr>
            <w:tcW w:w="900" w:type="dxa"/>
            <w:vAlign w:val="bottom"/>
          </w:tcPr>
          <w:p>
            <w:pPr>
              <w:spacing w:after="0"/>
              <w:rPr>
                <w:sz w:val="24"/>
                <w:szCs w:val="24"/>
                <w:color w:val="auto"/>
              </w:rPr>
            </w:pPr>
          </w:p>
        </w:tc>
        <w:tc>
          <w:tcPr>
            <w:tcW w:w="95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99.28 to Amendment No. 13)</w:t>
            </w:r>
          </w:p>
        </w:tc>
        <w:tc>
          <w:tcPr>
            <w:tcW w:w="1000" w:type="dxa"/>
            <w:vAlign w:val="bottom"/>
          </w:tcPr>
          <w:p>
            <w:pPr>
              <w:spacing w:after="0"/>
              <w:rPr>
                <w:sz w:val="24"/>
                <w:szCs w:val="24"/>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99.43</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Interest Notice pursuant to Section 3.3 of the Equityholders’ Agreement from Eagle River Holdings, LLC dated as of October 17, 2012</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99.29 of Amendment No. 14 to Schedule 13D filed on October 18, 2012 by the Sprint Entities</w:t>
            </w:r>
          </w:p>
        </w:tc>
      </w:tr>
      <w:tr>
        <w:trPr>
          <w:trHeight w:val="234"/>
        </w:trPr>
        <w:tc>
          <w:tcPr>
            <w:tcW w:w="900" w:type="dxa"/>
            <w:vAlign w:val="bottom"/>
          </w:tcPr>
          <w:p>
            <w:pPr>
              <w:spacing w:after="0"/>
              <w:rPr>
                <w:sz w:val="20"/>
                <w:szCs w:val="20"/>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the ERH Entities)</w:t>
            </w:r>
          </w:p>
        </w:tc>
        <w:tc>
          <w:tcPr>
            <w:tcW w:w="5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99.44</w:t>
            </w: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Response Letter pursuant to Section 3.3 of the Equityholders’ Agreement from Sprint HoldCo, LLC to Eagle River Holdings, LLC dated</w:t>
            </w:r>
          </w:p>
        </w:tc>
      </w:tr>
      <w:tr>
        <w:trPr>
          <w:trHeight w:val="216"/>
        </w:trPr>
        <w:tc>
          <w:tcPr>
            <w:tcW w:w="900" w:type="dxa"/>
            <w:vAlign w:val="bottom"/>
          </w:tcPr>
          <w:p>
            <w:pPr>
              <w:spacing w:after="0"/>
              <w:rPr>
                <w:sz w:val="18"/>
                <w:szCs w:val="18"/>
                <w:color w:val="auto"/>
              </w:rPr>
            </w:pPr>
          </w:p>
        </w:tc>
        <w:tc>
          <w:tcPr>
            <w:tcW w:w="10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as of October 17, 2012 (incorporated herein by reference to Exhibit 99.30 of Amendment No. 14 to Schedule 13D filed on October 18,</w:t>
            </w:r>
          </w:p>
        </w:tc>
      </w:tr>
      <w:tr>
        <w:trPr>
          <w:trHeight w:val="234"/>
        </w:trPr>
        <w:tc>
          <w:tcPr>
            <w:tcW w:w="900" w:type="dxa"/>
            <w:vAlign w:val="bottom"/>
          </w:tcPr>
          <w:p>
            <w:pPr>
              <w:spacing w:after="0"/>
              <w:rPr>
                <w:sz w:val="20"/>
                <w:szCs w:val="20"/>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2012 by the Sprint Entities and the ERH Entities)</w:t>
            </w:r>
          </w:p>
        </w:tc>
        <w:tc>
          <w:tcPr>
            <w:tcW w:w="5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99.45</w:t>
            </w:r>
          </w:p>
        </w:tc>
        <w:tc>
          <w:tcPr>
            <w:tcW w:w="95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Joint Filing Agreement, dated as of October 22, 2012, between Comcast Corporation and Comcast Wireless Investment, LLC</w:t>
            </w:r>
          </w:p>
        </w:tc>
        <w:tc>
          <w:tcPr>
            <w:tcW w:w="1000" w:type="dxa"/>
            <w:vAlign w:val="bottom"/>
          </w:tcPr>
          <w:p>
            <w:pPr>
              <w:spacing w:after="0"/>
              <w:rPr>
                <w:sz w:val="24"/>
                <w:szCs w:val="24"/>
                <w:color w:val="auto"/>
              </w:rPr>
            </w:pPr>
          </w:p>
        </w:tc>
      </w:tr>
      <w:tr>
        <w:trPr>
          <w:trHeight w:val="686"/>
        </w:trPr>
        <w:tc>
          <w:tcPr>
            <w:tcW w:w="90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our knowledge and belief, the undersigned certify that the information set forth in this statement is true, complete and correct.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22,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17145</wp:posOffset>
            </wp:positionV>
            <wp:extent cx="26930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Comcast Wireless Investment, LLC</w:t>
      </w:r>
    </w:p>
    <w:p>
      <w:pPr>
        <w:spacing w:after="0" w:line="37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17145</wp:posOffset>
            </wp:positionV>
            <wp:extent cx="26930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36"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Appendix A-1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w:t>
      </w:r>
    </w:p>
    <w:p>
      <w:pPr>
        <w:spacing w:after="0" w:line="200" w:lineRule="exact"/>
        <w:rPr>
          <w:sz w:val="20"/>
          <w:szCs w:val="20"/>
          <w:color w:val="auto"/>
        </w:rPr>
      </w:pPr>
    </w:p>
    <w:p>
      <w:pPr>
        <w:spacing w:after="0" w:line="3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Set forth below is a list of each executive officer and director of Comcast setting forth the business address and present principal occupation or employment (and the name and address of any corporation or organization in which such employment is conducted) of each person. Unless otherwise indicated, each occupation set forth opposite an individual’s name refers to such individual’s employment with Comcast and each individual is a United States citizen.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Corporation or</w:t>
            </w:r>
          </w:p>
        </w:tc>
      </w:tr>
      <w:tr>
        <w:trPr>
          <w:trHeight w:val="176"/>
        </w:trPr>
        <w:tc>
          <w:tcPr>
            <w:tcW w:w="3940" w:type="dxa"/>
            <w:vAlign w:val="bottom"/>
          </w:tcPr>
          <w:p>
            <w:pPr>
              <w:spacing w:after="0"/>
              <w:rPr>
                <w:sz w:val="15"/>
                <w:szCs w:val="15"/>
                <w:color w:val="auto"/>
              </w:rPr>
            </w:pP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Present Principal Occupation</w:t>
            </w:r>
          </w:p>
        </w:tc>
        <w:tc>
          <w:tcPr>
            <w:tcW w:w="26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Organization (if different from</w:t>
            </w:r>
          </w:p>
        </w:tc>
      </w:tr>
      <w:tr>
        <w:trPr>
          <w:trHeight w:val="19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Business Address</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business of employer)</w:t>
            </w:r>
          </w:p>
        </w:tc>
        <w:tc>
          <w:tcPr>
            <w:tcW w:w="26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address provided in Column 1)</w:t>
            </w:r>
          </w:p>
        </w:tc>
      </w:tr>
      <w:tr>
        <w:trPr>
          <w:trHeight w:val="198"/>
        </w:trPr>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J. Angelakis</w:t>
            </w:r>
          </w:p>
        </w:tc>
        <w:tc>
          <w:tcPr>
            <w:tcW w:w="220" w:type="dxa"/>
            <w:vAlign w:val="bottom"/>
          </w:tcPr>
          <w:p>
            <w:pPr>
              <w:spacing w:after="0"/>
              <w:rPr>
                <w:sz w:val="17"/>
                <w:szCs w:val="17"/>
                <w:color w:val="auto"/>
              </w:rPr>
            </w:pP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Vice Chairman and Chief Financial Officer</w:t>
            </w:r>
          </w:p>
        </w:tc>
        <w:tc>
          <w:tcPr>
            <w:tcW w:w="260" w:type="dxa"/>
            <w:vAlign w:val="bottom"/>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Kenneth J. Bacon*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Housing and</w:t>
            </w:r>
          </w:p>
        </w:tc>
        <w:tc>
          <w:tcPr>
            <w:tcW w:w="2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Fannie Mae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Community Development of Fannie Mae</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3900 Wisconsin Ave., NW Washington, DC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20016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Sheldon M. Bonovitz*</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Emeritus of Duane Morris LLP</w:t>
            </w:r>
          </w:p>
        </w:tc>
        <w:tc>
          <w:tcPr>
            <w:tcW w:w="2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Duane Morris LLP</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30 South 17th Street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Arthur R. Block, Esq.</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Secretary</w:t>
            </w: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Stephen B. Burke</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President and Chief</w:t>
            </w:r>
          </w:p>
        </w:tc>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Officer, NBCUniversal</w:t>
            </w: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David L. Cohen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Joseph J. Collins*</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Aegis, LLC; Retired Chairman and</w:t>
            </w:r>
          </w:p>
        </w:tc>
        <w:tc>
          <w:tcPr>
            <w:tcW w:w="2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155 Long Neck Point Road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of Time Warner Cable</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Darien, CT 06820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 Michael Cook*</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Retired Chairman and Chief Executive Officer of</w:t>
            </w:r>
          </w:p>
        </w:tc>
        <w:tc>
          <w:tcPr>
            <w:tcW w:w="2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980 Lake Avenue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Deloitte &amp; Touche LLP</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Greenwich, CT 06831</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of The Bank of New York Mellon</w:t>
            </w:r>
          </w:p>
        </w:tc>
        <w:tc>
          <w:tcPr>
            <w:tcW w:w="26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New York Mellon Corporation</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Corporation</w:t>
            </w: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One Wall Street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10286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659"/>
        </w:trPr>
        <w:tc>
          <w:tcPr>
            <w:tcW w:w="3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Jeffrey A. Honickman*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Chief Executive Officer of Pepsi-Cola and</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Pepsi-Cola and National Brand Beverages,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National Brand Beverages, Ltd.</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Ltd.</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8275 N Route 130</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Pennsauken, NJ 08110-1435</w:t>
            </w: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Eduardo G. Mestre*</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Vice Chairman of Evercore Partners Inc.</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Evercore Partners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 East 52nd Street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NY 10055</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350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Ralph J. Roberts*</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Founder and Chairman Emeritus of the Board of</w:t>
            </w:r>
          </w:p>
        </w:tc>
        <w:tc>
          <w:tcPr>
            <w:tcW w:w="350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Directors</w:t>
            </w:r>
          </w:p>
        </w:tc>
        <w:tc>
          <w:tcPr>
            <w:tcW w:w="350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Johnathan A. Rodgers*</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Retired President and Chief Executive Officer of</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3120 Newark Street, NW</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TVOne</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Washington, DC 20008</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Dr. Judith Rodin*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President of the Rockefeller Foundation</w:t>
            </w: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Rockefeller Foundation</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 Fifth Ave</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NY 10018</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Lawrence J. Salva</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350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 Controller</w:t>
            </w:r>
          </w:p>
        </w:tc>
        <w:tc>
          <w:tcPr>
            <w:tcW w:w="350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Neil Smit</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Executive Vice President; President and Chief</w:t>
            </w:r>
          </w:p>
        </w:tc>
        <w:tc>
          <w:tcPr>
            <w:tcW w:w="3500" w:type="dxa"/>
            <w:vAlign w:val="bottom"/>
          </w:tcPr>
          <w:p>
            <w:pPr>
              <w:spacing w:after="0"/>
              <w:rPr>
                <w:sz w:val="24"/>
                <w:szCs w:val="24"/>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Executive Officer, Comcast Cable</w:t>
            </w:r>
          </w:p>
        </w:tc>
        <w:tc>
          <w:tcPr>
            <w:tcW w:w="350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Communications</w:t>
            </w:r>
          </w:p>
        </w:tc>
        <w:tc>
          <w:tcPr>
            <w:tcW w:w="35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9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  Director</w:t>
            </w:r>
          </w:p>
        </w:tc>
        <w:tc>
          <w:tcPr>
            <w:tcW w:w="4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686"/>
        </w:trPr>
        <w:tc>
          <w:tcPr>
            <w:tcW w:w="31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ind w:right="-139"/>
        <w:spacing w:after="0"/>
        <w:rPr>
          <w:sz w:val="20"/>
          <w:szCs w:val="20"/>
          <w:color w:val="auto"/>
        </w:rPr>
      </w:pPr>
      <w:r>
        <w:rPr>
          <w:rFonts w:ascii="Times New Roman" w:cs="Times New Roman" w:eastAsia="Times New Roman" w:hAnsi="Times New Roman"/>
          <w:sz w:val="18"/>
          <w:szCs w:val="18"/>
          <w:color w:val="auto"/>
        </w:rPr>
        <w:t>Appendix A-2</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EXECUTIVE OFFICERS AND DIRECTORS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COMCAST LLC</w:t>
      </w:r>
    </w:p>
    <w:p>
      <w:pPr>
        <w:spacing w:after="0" w:line="200" w:lineRule="exact"/>
        <w:rPr>
          <w:sz w:val="20"/>
          <w:szCs w:val="20"/>
          <w:color w:val="auto"/>
        </w:rPr>
      </w:pPr>
    </w:p>
    <w:p>
      <w:pPr>
        <w:spacing w:after="0" w:line="3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Set forth below is a list of each executive officer and director of the Reporting Person setting forth the business address and present principal occupation or employment (and the name and address of any corporation or organization in which such employment is conducted) of each person. Unless otherwise indicated, each occupation set forth opposite an individual’s name refers to such individual’s employment with the Reporting Person and each individual is a United States citizen.</w:t>
      </w:r>
    </w:p>
    <w:p>
      <w:pPr>
        <w:sectPr>
          <w:pgSz w:w="11900" w:h="16838" w:orient="portrait"/>
          <w:cols w:equalWidth="0" w:num="1">
            <w:col w:w="11300"/>
          </w:cols>
          <w:pgMar w:left="240" w:top="810" w:right="35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c>
          <w:tcPr>
            <w:tcW w:w="0" w:type="dxa"/>
            <w:vAlign w:val="bottom"/>
          </w:tcPr>
          <w:p>
            <w:pPr>
              <w:spacing w:after="0"/>
              <w:rPr>
                <w:sz w:val="1"/>
                <w:szCs w:val="1"/>
                <w:color w:val="auto"/>
              </w:rPr>
            </w:pPr>
          </w:p>
        </w:tc>
      </w:tr>
      <w:tr>
        <w:trPr>
          <w:trHeight w:val="130"/>
        </w:trPr>
        <w:tc>
          <w:tcPr>
            <w:tcW w:w="3440" w:type="dxa"/>
            <w:vAlign w:val="bottom"/>
            <w:gridSpan w:val="2"/>
            <w:vMerge w:val="continue"/>
          </w:tcPr>
          <w:p>
            <w:pPr>
              <w:spacing w:after="0"/>
              <w:rPr>
                <w:sz w:val="11"/>
                <w:szCs w:val="11"/>
                <w:color w:val="auto"/>
              </w:rPr>
            </w:pPr>
          </w:p>
        </w:tc>
        <w:tc>
          <w:tcPr>
            <w:tcW w:w="4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(principal business of employer)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4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58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entity has no directors</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Angelakis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Executive Vice President, Chief</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R. Block, Esq.</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Senior Vice President, General Counsel,</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Secretary and Assistant Treasurer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Cohen</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Executive Vice President, Assistant Secretary</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J. Salva</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Senior Vice President, Chief Accounting</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Comcast Center</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Officer and Controller</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PA 19103-2838</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649605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Name and Address of Corporation or Other Organization (if different from address provided in Column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1697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ectPr>
          <w:pgSz w:w="11900" w:h="16838" w:orient="portrait"/>
          <w:cols w:equalWidth="0" w:num="2">
            <w:col w:w="7440" w:space="560"/>
            <w:col w:w="3300"/>
          </w:cols>
          <w:pgMar w:left="240" w:top="810" w:right="3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INDEX</w:t>
            </w:r>
          </w:p>
        </w:tc>
      </w:tr>
      <w:tr>
        <w:trPr>
          <w:trHeight w:val="20"/>
        </w:trPr>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5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8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7"/>
                <w:szCs w:val="17"/>
                <w:color w:val="auto"/>
              </w:rPr>
            </w:pPr>
          </w:p>
        </w:tc>
        <w:tc>
          <w:tcPr>
            <w:tcW w:w="10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Statement on Schedule 13D (the “</w:t>
            </w:r>
            <w:r>
              <w:rPr>
                <w:rFonts w:ascii="Times New Roman" w:cs="Times New Roman" w:eastAsia="Times New Roman" w:hAnsi="Times New Roman"/>
                <w:sz w:val="18"/>
                <w:szCs w:val="18"/>
                <w:b w:val="1"/>
                <w:bCs w:val="1"/>
                <w:color w:val="auto"/>
              </w:rPr>
              <w:t>Initial Joint 13D Filing</w:t>
            </w:r>
            <w:r>
              <w:rPr>
                <w:rFonts w:ascii="Times New Roman" w:cs="Times New Roman" w:eastAsia="Times New Roman" w:hAnsi="Times New Roman"/>
                <w:sz w:val="18"/>
                <w:szCs w:val="18"/>
                <w:color w:val="auto"/>
              </w:rPr>
              <w:t>”) filed on December 5, 2008 by Sprint Nextel Corporation, Sprint HoldCo,</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LLC, Comcast Corporation, Comcast Wireless Investment I, Inc., Comcast Wireless Investment II, Inc., Comcast Wireless Investment III,</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Inc., Comcast Wireless Investment IV, Inc., Comcast Wireless Investment V, Inc., Time Warner Cable Inc., Time Warner Cable LLC,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TWC Wireless Holdings I LLC, TWC Wireless Holdings II LLC, TWC Wireless Holdings III LLC, Bright House Networks, LLC, BHN</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w w:val="99"/>
              </w:rPr>
              <w:t>Spectrum Investments, LLC, Newhouse Broadcasting Corporation, Google Inc., Eagle River Holdings, LLC, Craig O. McCaw and CWCI,</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LLC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1 to the Statement on Schedule 13D filed on February 27, 2009 by Sprint Nextel Corporation, Sprint HoldCo, LLC,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Time Warner Cable Inc., Time Warner Cable LLC, TWC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Google Inc. Eagle River Holdings, LLC, Craig O. McCaw and CWCI,</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LLC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2 to the Statement on Schedule 13D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filed on November 12, 2009 by Sprint Nextel Corporation,</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Time Warner Cable Inc., Time Warner</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Cable LLC, TWC Wireless Holdings I LLC, TWC Wireless Holdings II LLC, TWC Wireless Holdings III LLC, Bright House Networks,</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LLC, BHN Spectrum Investments, LLC, Newhouse Broadcasting Corporation, Google Inc., Eagle River Holdings, LLC, Craig O. McCaw</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and CWCI, LLC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3 to the Statement on Schedule 13D filed on December 22, 2009 by Sprint Nextel Corporation, Sprint HoldCo, LLC,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w w:val="99"/>
              </w:rPr>
              <w:t>House Networks, LLC, BHN Spectrum Investments, LLC, Newhouse Broadcasting Corporation, Google Inc., Eagle River Holdings, LLC,</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Craig O. McCaw and CWCI, LLC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4 to the Statement on Schedule 13D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filed on December 7, 2010 by Sprint Nextel Corporation,</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5 to the Statement on Schedule 13D filed on December 14, 2010 by Sprint Nextel Corporation, Sprint HoldCo, LLC,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House Networks, LLC, BHN Spectrum Investments, LLC, Newhouse Broadcasting Corporation, Google Inc., Eagle River Holdings, LLC</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and Craig O. McCaw</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6 to the Statement on Schedule 13D filed on May 13, 2011 by Sprint Nextel Corporation, Sprint HoldCo, LLC, Comcast</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Corporation, Comcast Wireless Investment I, Inc., Comcast Wireless Investment II, Inc., Comcast Wireless Investment III, Inc., Comcast</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w w:val="99"/>
              </w:rPr>
              <w:t>Wireless Investment IV, Inc., Comcast Wireless Investment V, Inc., Comcast Wireless Investment VI, Inc., Time Warner Cable Inc., Time</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Warner Cable LLC, TWC Wireless Holdings I LLC, TWC Wireless Holdings II LLC, TWC Wireless Holdings III LLC, Bright House</w:t>
            </w:r>
          </w:p>
        </w:tc>
      </w:tr>
      <w:tr>
        <w:trPr>
          <w:trHeight w:val="216"/>
        </w:trPr>
        <w:tc>
          <w:tcPr>
            <w:tcW w:w="1020" w:type="dxa"/>
            <w:vAlign w:val="bottom"/>
          </w:tcPr>
          <w:p>
            <w:pPr>
              <w:spacing w:after="0"/>
              <w:rPr>
                <w:sz w:val="18"/>
                <w:szCs w:val="18"/>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Networks, LLC, BHN Spectrum Investments, LLC, Newhouse Broadcasting Corporation, Google Inc., Eagle River Holdings, LLC and</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Craig O. McCaw</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Amendment No. 7 to the Statement on Schedule 13D (“</w:t>
            </w:r>
            <w:r>
              <w:rPr>
                <w:rFonts w:ascii="Times New Roman" w:cs="Times New Roman" w:eastAsia="Times New Roman" w:hAnsi="Times New Roman"/>
                <w:sz w:val="18"/>
                <w:szCs w:val="18"/>
                <w:b w:val="1"/>
                <w:bCs w:val="1"/>
                <w:color w:val="auto"/>
              </w:rPr>
              <w:t>Amendment No. 7</w:t>
            </w:r>
            <w:r>
              <w:rPr>
                <w:rFonts w:ascii="Times New Roman" w:cs="Times New Roman" w:eastAsia="Times New Roman" w:hAnsi="Times New Roman"/>
                <w:sz w:val="18"/>
                <w:szCs w:val="18"/>
                <w:color w:val="auto"/>
              </w:rPr>
              <w:t>”) filed on June 8, 2011 by Sprint Nextel Corporation, Sprint</w:t>
            </w:r>
          </w:p>
        </w:tc>
      </w:tr>
      <w:tr>
        <w:trPr>
          <w:trHeight w:val="234"/>
        </w:trPr>
        <w:tc>
          <w:tcPr>
            <w:tcW w:w="1020" w:type="dxa"/>
            <w:vAlign w:val="bottom"/>
          </w:tcPr>
          <w:p>
            <w:pPr>
              <w:spacing w:after="0"/>
              <w:rPr>
                <w:sz w:val="20"/>
                <w:szCs w:val="20"/>
                <w:color w:val="auto"/>
              </w:rPr>
            </w:pPr>
          </w:p>
        </w:tc>
        <w:tc>
          <w:tcPr>
            <w:tcW w:w="104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HoldCo, LLC, Comcast Corporation, Comcast Wireless Investment I, Inc., Comcast Wireless</w:t>
            </w:r>
          </w:p>
        </w:tc>
      </w:tr>
      <w:tr>
        <w:trPr>
          <w:trHeight w:val="659"/>
        </w:trPr>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II, Inc., Comcast Wireless Investment III, Inc., Comcast Wireless Investment IV, Inc., Comcast Wireless Investment V,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Comcast Wireless Investment VI, Inc., Time Warner Cable Inc., Time Warner Cable LLC, TWC Wireless Holdings 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II LLC, TWC Wireless Holdings III LLC, Bright House Networks, LLC, BHN Spectrum Investments, LLC, Newhouse</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Broadcasting Corporation, Google Inc., Eagle River 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8 to the Statement on Schedule 13D (“</w:t>
            </w:r>
            <w:r>
              <w:rPr>
                <w:rFonts w:ascii="Times New Roman" w:cs="Times New Roman" w:eastAsia="Times New Roman" w:hAnsi="Times New Roman"/>
                <w:sz w:val="18"/>
                <w:szCs w:val="18"/>
                <w:b w:val="1"/>
                <w:bCs w:val="1"/>
                <w:color w:val="auto"/>
              </w:rPr>
              <w:t>Amendment No. 8</w:t>
            </w:r>
            <w:r>
              <w:rPr>
                <w:rFonts w:ascii="Times New Roman" w:cs="Times New Roman" w:eastAsia="Times New Roman" w:hAnsi="Times New Roman"/>
                <w:sz w:val="18"/>
                <w:szCs w:val="18"/>
                <w:color w:val="auto"/>
              </w:rPr>
              <w:t>”) filed on December 16, 2011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99.10</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9 to the Statement on Schedule 13D (“</w:t>
            </w:r>
            <w:r>
              <w:rPr>
                <w:rFonts w:ascii="Times New Roman" w:cs="Times New Roman" w:eastAsia="Times New Roman" w:hAnsi="Times New Roman"/>
                <w:sz w:val="18"/>
                <w:szCs w:val="18"/>
                <w:b w:val="1"/>
                <w:bCs w:val="1"/>
                <w:color w:val="auto"/>
              </w:rPr>
              <w:t>Amendment No. 9</w:t>
            </w:r>
            <w:r>
              <w:rPr>
                <w:rFonts w:ascii="Times New Roman" w:cs="Times New Roman" w:eastAsia="Times New Roman" w:hAnsi="Times New Roman"/>
                <w:sz w:val="18"/>
                <w:szCs w:val="18"/>
                <w:color w:val="auto"/>
              </w:rPr>
              <w:t>”)filed on February 24,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Google Inc.,</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Eagle River 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99.11</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10 to the Statement on Schedule 13D filed on March 14, 2012 by Sprint Nextel Corporation, Sprint HoldCo, LLC,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Corporation, Comcast Wireless Investment I, Inc., Comcast Wireless Investment II, Inc., Comcast Wireless Investment III,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Wireless Investment IV, Inc., Comcast Wireless Investment V, Inc., Comcast Wireless Investment VI, Inc., Time Warner Cable</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 Time Warner Cable LLC, TWC Wireless Holdings I LLC, TWC Wireless Holdings II LLC, TWC Wireless Holdings III LLC, Bright</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House Networks, LLC, BHN Spectrum Investments, LLC, Newhouse Broadcasting Corporation, Google Inc., Eagle River Holdings, LLC</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99.12</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11 to the Statement on Schedule 13D (“</w:t>
            </w:r>
            <w:r>
              <w:rPr>
                <w:rFonts w:ascii="Times New Roman" w:cs="Times New Roman" w:eastAsia="Times New Roman" w:hAnsi="Times New Roman"/>
                <w:sz w:val="18"/>
                <w:szCs w:val="18"/>
                <w:b w:val="1"/>
                <w:bCs w:val="1"/>
                <w:color w:val="auto"/>
              </w:rPr>
              <w:t>Amendment No. 11</w:t>
            </w:r>
            <w:r>
              <w:rPr>
                <w:rFonts w:ascii="Times New Roman" w:cs="Times New Roman" w:eastAsia="Times New Roman" w:hAnsi="Times New Roman"/>
                <w:sz w:val="18"/>
                <w:szCs w:val="18"/>
                <w:color w:val="auto"/>
              </w:rPr>
              <w:t>”) filed on June 15,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Sprint HoldCo, LLC, Comcast Corporation,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Comcast Wireless Investment VI,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Time Warner Cable Inc., Time Warner Cable LLC, TWC Wireless Holdings I LLC, TWC Wireless Holdings II LLC,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III LLC, Bright House Networks, LLC, BHN Spectrum Investments, LLC, Newhouse Broadcasting Corporation, Eagle River</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99.13</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Amendment No. 12 to the Statement on Schedule 13D (“</w:t>
            </w:r>
            <w:r>
              <w:rPr>
                <w:rFonts w:ascii="Times New Roman" w:cs="Times New Roman" w:eastAsia="Times New Roman" w:hAnsi="Times New Roman"/>
                <w:sz w:val="18"/>
                <w:szCs w:val="18"/>
                <w:b w:val="1"/>
                <w:bCs w:val="1"/>
                <w:color w:val="auto"/>
                <w:w w:val="99"/>
              </w:rPr>
              <w:t>Amendment No. 12</w:t>
            </w:r>
            <w:r>
              <w:rPr>
                <w:rFonts w:ascii="Times New Roman" w:cs="Times New Roman" w:eastAsia="Times New Roman" w:hAnsi="Times New Roman"/>
                <w:sz w:val="18"/>
                <w:szCs w:val="18"/>
                <w:color w:val="auto"/>
                <w:w w:val="99"/>
              </w:rPr>
              <w:t>”) filed on September 14,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Sprint HoldCo, LLC, Comcast Corporation, Comcast Wireless Investment, LLC, Time Warner Cable Inc., Time Warner Cable LLC, TWC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Eagle River 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99.14</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13 to the Statement on Schedule 13D (“</w:t>
            </w:r>
            <w:r>
              <w:rPr>
                <w:rFonts w:ascii="Times New Roman" w:cs="Times New Roman" w:eastAsia="Times New Roman" w:hAnsi="Times New Roman"/>
                <w:sz w:val="18"/>
                <w:szCs w:val="18"/>
                <w:b w:val="1"/>
                <w:bCs w:val="1"/>
                <w:color w:val="auto"/>
              </w:rPr>
              <w:t>Amendment No. 13</w:t>
            </w:r>
            <w:r>
              <w:rPr>
                <w:rFonts w:ascii="Times New Roman" w:cs="Times New Roman" w:eastAsia="Times New Roman" w:hAnsi="Times New Roman"/>
                <w:sz w:val="18"/>
                <w:szCs w:val="18"/>
                <w:color w:val="auto"/>
              </w:rPr>
              <w:t>”) filed on October 3, 2012 by Sprint Nextel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Sprint HoldCo, LLC, Comcast Corporation, Comcast Wireless Investment, LLC, Time Warner Cable Inc., Time Warner Cable LLC, TWC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Wireless Holdings I LLC, TWC Wireless Holdings II LLC, TWC Wireless Holdings III LLC, Bright House Networks, LLC, BHN</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Spectrum Investments, LLC, Newhouse Broadcasting Corporation, Eagle River Holdings, LLC and Craig O. McCaw</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99.15</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Agreement and Plan of Merger, dated as of May 7, 2008, by and among Sprint Nextel Corporation, Clearwire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Corporation, Time Warner Cable Inc., Bright House Networks, LLC, Google Inc., and Intel Corporation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 to Exhibit 2.1 of Clearwire Corporation’s Current Report on Form 8−K filed May 7, 2008)</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99.16</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the Transaction Agreement and Plan of Merger, dated as of November 21, 2008, by and among Sprint Nextel</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Clearwire Corporation, Comcast Corporation, Time Warner Cable Inc., Bright House Networks, LLC, Google Inc., and Intel</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(incorporated herein by reference to Exhibit 2.1 of Clearwire</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Corporation’s Current Report 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99.17</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Equityholders’ Agreement, dated as of November 28, 2008, by and among Clearwire Corporation, Sprint HoldCo, LLC, Eagle River</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LLC, Intel Capital Wireless Investment Corporation 2008A, Intel Capital Wireless Investment Corporation 2008B, Intel Capital</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Wireless Investment Corporation 2008C, Intel Capital Corporation, Intel Capital (Cayman) Corporation, Middlefield Ventures,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Wireless Investment I, Inc., Comcast Wireless Investment II, Inc., Comcast Wireless Investment III,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IV, Inc., Comcast Wireless Investment V, Inc., Google Inc., TWC Wireless Holdings I LLC, TWC Wireless Holdings II LLC,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TWC Wireless Holdings III LLC, BHN Spectrum Investments, LLC and, for the limited purpose of Sections 2.13, 2.14, 2.15 and Article 4,</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Sprint Nextel Corporation (incorporated herein by reference to Exhibit 4.1 of Clearwire Corporation’s Current Report on Form 8-K filed</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99.18</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Strategic Investor Agreement, dated as of November 28, 2008, by and among Comcast Wireless Investment 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II, Inc., Comcast Wireless Investment III, Inc., Comcast Wireless Investment IV, Inc., Comcast Wireless Investment V,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TWC Wireless Holdings I LLC, TWC Wireless Holdings II LLC, TWC Wireless Holdings III LLC, BHN Spectrum Investments, LLC,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Google Inc., Comcast Corporation, Time Warner Cable Inc. and Bright House Networks, LLC (incorporated herein by reference to Exhibit</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99.7 to the Initial Joint 13D Filing)</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99.19</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Registration Rights Agreement, dated as of November 28, 2008, among Clearwire Corporation, Sprint Nextel Corporation, Eagle River</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LLC, Intel Corporation, Comcast Corporation, Google Inc., Time Warner Cable Inc. and BHN Spectrum Investments LLC</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(incorporated herein by reference to Exhibit 4.2 of Clearwire Corporation’s Current Report 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99.20</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Operating Agreement of Clearwire Communications LLC, dated as of November 28, 2008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 to Exhibit 10.1 of Clearwire Corporation’s Current Report on Form 8-K filed December 1, 2008)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99.21</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Joint Filing Agreement, dated as of November 28, 2008, among the reporting persons to the Initial Joint 13D Filing and, solely for</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purposes of Sections 7, 8, 9 and 10, the Intel Entities, Intel Capital, Intel Cayman and Middlefield Ventures, Inc. (incorporated herein by</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 to Exhibit 99.7 to the Initial Joint 13D Filing)</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99.22</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 Agreement, dated as of November 9, 2009, by and among Sprint Nextel Corporation, Clearwire Corporation, Clearwire</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Communications LLC, Comcast Corporation, Time Warner Cable Inc., Bright House Networks, LLC, Eagle River Holdings, LLC and</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Intel Corporation (incorporated herein by reference to Exhibit 99.1 of Sprint Nextel Corporation’s Current Report on Form 8-K filed</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November 10, 2009)</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99.23</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Non-Unanimous Written Consent to Action in Lieu of Special Meeting of the Stockholders of Clearwire Corporation,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November 9, 2009, executed by Sprint HoldCo, LLC, Eagle River Holdings, LLC, Intel Capital Wireless Investment Corporation 2008A,</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Intel Capital Wireless Investment Corporation 2008B, Intel Capital Wireless Investment Corporation 2008C, Intel Capital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Intel Capital (Cayman) Corporation, Middlefield Ventures, Inc., Comcast Wireless Investment I, Inc., Comcast Wireless Investment II,</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 Comcast Wireless Investment III, Inc., Comcast Wireless Investment IV, Inc., Comcast Wireless Investment V, Inc., Google Inc.,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TWC Wireless Holdings I LLC, TWC Wireless Holdings II LLC, TWC Wireless Holdings III LLC and BHN Spectrum Investments, LLC</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(incorporated herein by reference to Exhibit 99.9 to Amendment No. 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99.24</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Unanimous Consent and Waiver, dated as of November 9, 2009, by and among Clearwire Corporation, Clearwire Communications LLC,</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Sprint HoldCo, LLC, Eagle River Holdings, LLC, Intel Capital Wireless Investment Corporation 2008A, Intel Capital Wireless Investment</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2008B, Intel Capital Wireless Investment Corporation 2008C, Intel Capital Corporation, Intel Capital (Cayman)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Middlefield Ventures, Inc., Comcast Wireless Investment I, Inc., Comcast Wireless Investment II, Inc., Comcast Wireless Investment III,</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 Comcast Wireless Investment IV, Inc., Comcast Wireless Investment V, Inc., Comcast Corporation, Google Inc., TWC Wireless</w:t>
            </w:r>
          </w:p>
        </w:tc>
      </w:tr>
      <w:tr>
        <w:trPr>
          <w:trHeight w:val="216"/>
        </w:trPr>
        <w:tc>
          <w:tcPr>
            <w:tcW w:w="900" w:type="dxa"/>
            <w:vAlign w:val="bottom"/>
          </w:tcPr>
          <w:p>
            <w:pPr>
              <w:spacing w:after="0"/>
              <w:rPr>
                <w:sz w:val="18"/>
                <w:szCs w:val="18"/>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 LLC, TWC Wireless Holdings II LLC, TWC Wireless Holdings III LLC, BHN Spectrum Investments, LLC and Comcast</w:t>
            </w:r>
          </w:p>
        </w:tc>
      </w:tr>
      <w:tr>
        <w:trPr>
          <w:trHeight w:val="234"/>
        </w:trPr>
        <w:tc>
          <w:tcPr>
            <w:tcW w:w="900" w:type="dxa"/>
            <w:vAlign w:val="bottom"/>
          </w:tcPr>
          <w:p>
            <w:pPr>
              <w:spacing w:after="0"/>
              <w:rPr>
                <w:sz w:val="20"/>
                <w:szCs w:val="20"/>
                <w:color w:val="auto"/>
              </w:rPr>
            </w:pP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as Strategic Investor Representative (incorporated herein by reference to Exhibit 99.10 to Amendment No. 2</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99.25</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Lock-up Agreement (incorporated herein by reference to Exhibit 99.11 to Amendment No. 4)</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99.26</w:t>
            </w:r>
          </w:p>
        </w:tc>
        <w:tc>
          <w:tcPr>
            <w:tcW w:w="10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Preemptive Rights Waiver (incorporated herein by reference to Exhibit 99.12 to Amendment No. 4)</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99.27</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to Equityholders’ Agreement, dated as of December 8, 2010, by and among Clearwire Corporation, Sprint HoldCo,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Eagle River Holdings, LLC, Intel Capital Wireless Investment Corporation 2008A, Intel Capital Wireless Investment Corporation 2008B,</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 Capital Wireless Investment Corporation 2008C, Intel Capital Corporation, Intel Capital (Cayman) Corporation, Middlefield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Ventures, Inc. and Comcast Corporation, as Strategic Investor Representative (incorporated herein by reference to Exhibit 4.11 of</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Clearwire Corporation’s Current Report on Form 8-K filed December 13, 2010)</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99.28</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June 1, 2011, pursuant to Section 2.13(j) of the Equityholders’</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(incorporated herein by reference to Exhibit 99.14 to Amendment No. 7)</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99.29</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Commitment Agreement, dated as of November 30, 2011, by and among Clearwire Corporation, Clearwire Communications LLC, Sprint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HoldCo, LLC and Sprint Nextel Corporation (including the form of Note attached as Exhibit B thereto) (incorporated herein by reference</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Exhibit 10.1 of Clearwire Corporation’s Current Report on Form 8-K filed December 5, 2011)</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99.30</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Agreement, dated as of November 30, 2011, by and among Clearwire Corporation, Clearwire Communications, LLC, Sprint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HoldCo, LLC and Sprint Nextel Corporation (incorporated herein by reference to Exhibit 10.2 of Clearwire Corporation’s Current Report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 Form 8-K filed December 5, 2011)</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99.31</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December 12, 2011, regarding Notice of Exercise of</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Preemptive Rights (incorporated herein by reference to Exhibit 99.17 to Amendment No. 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99.32</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Agreement, dated as of December 13, 2011, by and among Clearwire Corporation, Clearwire Communications LLC and Sprint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HoldCo, LLC (incorporated herein by reference to Exhibit 99.18 to Amendment No. 8)</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99.33</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2011 Lock-Up Agreement (incorporated herein by reference to Exhibit 99.19 to Amendment No. 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99.34</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Non-Unanimous Written Consent to Action in Lieu of Special Meeting of the Stockholders of Clearwire Corporation,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December 7, 2011, executed by Sprint HoldCo, LLC, Comcast Corporation, as Strategic Investor Representative, Intel Capital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Corporation 2008A, Intel Capital Wireless Investment Corporation 2008B, Intel Capital Wireless Investment Corporation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2008C, Intel Capital Corporation, Intel Capital (Cayman) Corporation and Middlefield Ventures, Inc. (incorporated herein by reference to</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99.20 to Amendment No. 8)</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99.35</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the Comcast Corporation, Time Warner Cable Inc., Bright House Networks, LLC, Advance/Newhouse Partnership and Intel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from Google Inc., dated as of February 7, 2012, pursuant to Section 5(a) of the Strategic Investor Agreement, dated as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November 28, 2008, by and among Comcast Wireless Investment I, Inc., Comcast Wireless Investment II, Inc., Comcast Wireless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III, Inc., Comcast Wireless Investment IV, Inc., Comcast Wireless Investment V, Inc., TWC Wireless Holdings I LLC, TWC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Wireless Holdings II LLC, TWC Wireless Holdings III LLC, BHN Spectrum Investments, LLC, Google Inc., Comcast Corporation, Time</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Warner Cable Inc. and Bright House Networks, LLC (incorporated herein by reference to Exhibit 99.21 to Amendment No. 9)</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99.36</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Sprint Nextel Corporation, Eagle River Holdings, LLC, Comcast Corporation, Time Warner Cable Inc., Bright House Networks,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LLC, Advance/Newhouse Partnership and Intel Corporation from Google Inc., dated as of February 16, 2012, pursuant to Section 3.3 of</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Equityholders’ Agreement (incorporated herein by reference to Exhibit 99.22 to Amendment No. 9)</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99.37</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Clearwire Corporation from Sprint Nextel Corporation, dated as of June 8, 2012, pursuant to Section 2.13(j) of the Equityholders’</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(incorporated herein by reference to Exhibit 99.23 to Amendment No. 11)</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99.38</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Comcast Corporation and Bright House Networks, LLC from TWC Wireless Holdings I LLC, TWC Wireless Holdings II LLC</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TWC Wireless Holdings III LLC, dated as of August 29 , 2012, pursuant to Section 5(a) of the Strategic Investor Agreement</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99.24 to Amendment No. 12)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99.39</w:t>
            </w: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Request Notice to Clearwire from TWC Wireless Holdings I LLC, TWC Wireless Holdings II LLC and TWC Wireless Holdings III LLC,</w:t>
            </w:r>
          </w:p>
        </w:tc>
      </w:tr>
      <w:tr>
        <w:trPr>
          <w:trHeight w:val="234"/>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dated as of August 29 , 2012, pursuant to Section 3(c)(ii) and (d) of the Registration</w:t>
            </w:r>
          </w:p>
        </w:tc>
      </w:tr>
      <w:tr>
        <w:trPr>
          <w:trHeight w:val="659"/>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Rights Agreement (incorporated herein by reference to Exhibit 99.25 to Amendment No. 12)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99.40</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Notice to Clearwire Communications LLC and Clearwire Corporation, dated as of September 4, 2012, pursuant to Section 7.9(c)</w:t>
            </w:r>
          </w:p>
        </w:tc>
      </w:t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the Operating Agreement (incorporated herein by reference to Exhibit 99.26 to Amendment No. 12)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99.41</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Letter to Sprint Nextel Corporation, Eagle River Holdings, LLC, Comcast Corporation, Bright House Networks, LLC and Intel</w:t>
            </w:r>
          </w:p>
        </w:tc>
      </w:tr>
      <w:tr>
        <w:trPr>
          <w:trHeight w:val="216"/>
        </w:trPr>
        <w:tc>
          <w:tcPr>
            <w:tcW w:w="90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from TWC Wireless Holdings I LLC, TWC Wireless Holdings II LLC and TWC Wireless Holdings III LLC, dated as of</w:t>
            </w:r>
          </w:p>
        </w:tc>
      </w:tr>
      <w:tr>
        <w:trPr>
          <w:trHeight w:val="216"/>
        </w:trPr>
        <w:tc>
          <w:tcPr>
            <w:tcW w:w="90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7, 2012, pursuant to Section 3.3 of the Equityholders’ Agreement (incorporated herein by reference to Exhibit 99.27 to</w:t>
            </w:r>
          </w:p>
        </w:tc>
      </w:t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12)</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99.42</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Notice to Clearwire Communications LLC and Clearwire Corporation from Comcast Wireless Investment, LLC, dated as of</w:t>
            </w:r>
          </w:p>
        </w:tc>
      </w:tr>
      <w:tr>
        <w:trPr>
          <w:trHeight w:val="216"/>
        </w:trPr>
        <w:tc>
          <w:tcPr>
            <w:tcW w:w="90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18, 2012, pursuant to Section 7.9(c) of the Operating Agreement (incorporated herein by reference to Exhibit 99.28 to</w:t>
            </w:r>
          </w:p>
        </w:tc>
      </w:t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 No. 13)</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99.43</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Notice pursuant to Section 3.3 of the Equityholders’ Agreement from Eagle River Holdings, LLC dated as of October 17, 2012</w:t>
            </w:r>
          </w:p>
        </w:tc>
      </w:tr>
      <w:tr>
        <w:trPr>
          <w:trHeight w:val="216"/>
        </w:trPr>
        <w:tc>
          <w:tcPr>
            <w:tcW w:w="90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(incorporated herein by reference to Exhibit 99.29 of Amendment No. 14 to Schedule 13D filed on October 18, 2012 by the Sprint Entities</w:t>
            </w:r>
          </w:p>
        </w:tc>
      </w:t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the ERH Entities)</w:t>
            </w:r>
          </w:p>
        </w:tc>
      </w:tr>
      <w:tr>
        <w:trPr>
          <w:trHeight w:val="414"/>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99.44</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Response Letter pursuant to Section 3.3 of the Equityholders’ Agreement from Sprint HoldCo, LLC to Eagle River Holdings, LLC dated</w:t>
            </w:r>
          </w:p>
        </w:tc>
      </w:tr>
      <w:tr>
        <w:trPr>
          <w:trHeight w:val="216"/>
        </w:trPr>
        <w:tc>
          <w:tcPr>
            <w:tcW w:w="900" w:type="dxa"/>
            <w:vAlign w:val="bottom"/>
          </w:tcPr>
          <w:p>
            <w:pPr>
              <w:spacing w:after="0"/>
              <w:rPr>
                <w:sz w:val="18"/>
                <w:szCs w:val="18"/>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of October 17, 2012 (incorporated herein by reference to Exhibit 99.30 of Amendment No. 14 to Schedule 13D filed on October 18,</w:t>
            </w:r>
          </w:p>
        </w:tc>
      </w:tr>
      <w:tr>
        <w:trPr>
          <w:trHeight w:val="234"/>
        </w:trPr>
        <w:tc>
          <w:tcPr>
            <w:tcW w:w="900" w:type="dxa"/>
            <w:vAlign w:val="bottom"/>
          </w:tcPr>
          <w:p>
            <w:pPr>
              <w:spacing w:after="0"/>
              <w:rPr>
                <w:sz w:val="20"/>
                <w:szCs w:val="20"/>
                <w:color w:val="auto"/>
              </w:rPr>
            </w:pP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2012 by the Sprint Entities and the ERH Entities)</w:t>
            </w:r>
          </w:p>
        </w:tc>
      </w:tr>
      <w:tr>
        <w:trPr>
          <w:trHeight w:val="432"/>
        </w:trPr>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8"/>
              </w:rPr>
              <w:t>99.45</w:t>
            </w:r>
          </w:p>
        </w:tc>
        <w:tc>
          <w:tcPr>
            <w:tcW w:w="10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Joint Filing Agreement, dated as of October 22, 2012, between Comcast Corporation and Comcast Wireless Investment, LLC</w:t>
            </w:r>
          </w:p>
        </w:tc>
      </w:tr>
      <w:tr>
        <w:trPr>
          <w:trHeight w:val="821"/>
        </w:trPr>
        <w:tc>
          <w:tcPr>
            <w:tcW w:w="90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99.45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each of the persons named below agrees to the joint filing of a Statement on Schedule 13D (including amendments thereto) with respect to the Class A common stock, par value $0.0001 per share (the “</w:t>
      </w:r>
      <w:r>
        <w:rPr>
          <w:rFonts w:ascii="Times New Roman" w:cs="Times New Roman" w:eastAsia="Times New Roman" w:hAnsi="Times New Roman"/>
          <w:sz w:val="18"/>
          <w:szCs w:val="18"/>
          <w:b w:val="1"/>
          <w:bCs w:val="1"/>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Clearwire Corporation, a Delaware corporation, and further agrees that this Joint Filing Agreement be included as an exhibit to such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as contemplated by Section 13d-1(k)(ii), no person shall be responsible for the completeness or accuracy of the information concerning the other persons making the filing, unless such person knows or has reason to believe that such information is inaccurate. This Joint Filing Agreement may be executed in any number of counterparts, all of which together shall constitute one and the same instrument.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October 22, 2012</w:t>
      </w: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17145</wp:posOffset>
            </wp:positionV>
            <wp:extent cx="34220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COMCAST WIRELESS INVESTMENT,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17145</wp:posOffset>
            </wp:positionV>
            <wp:extent cx="34220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60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2019-12-16T10:33:15Z</dcterms:created>
  <dcterms:modified xsi:type="dcterms:W3CDTF">2019-12-16T10:33:15Z</dcterms:modified>
</cp:coreProperties>
</file>